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ПР 2 · Архітектура IoT екосистеми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Рівні архітектури докладно: шлюз, ядро, застосунки, розміщення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Технології створення програмних продуктів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Тема відповіді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Архітектура IoT-екосистеми, діаграми компонентів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Що показати у звіті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Розділ 4.1–4.6; рис. 2.2–2.4; табл. 2.5–2.9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Звіт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tspp_work/pract2/ПР2_Кравченко_ІР-31.docx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3 з 4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роботі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Демонструє, з чого складається система і де що працює фізично.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Рис. 2.2 — загальна схема: дані рухаються зліва направо — від пристроїв сектора через периферійний шлюз до шини подій ядра і далі до застосунків.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відповідь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Пристрої (табл. 2.5).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120 акустичних вузлів (MQTT 5), 4 РЛС (ASTERIX), 12 постів ОЕП (RTSP), 18 НСУ (MAVLink 2 з підписом). Кожен пристрій має власний сертифікат.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Шлюз (рис. 2.3).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Адаптери протоколів (шаблон «Адаптер»), перевірка даних, локальний брокер MQTT, локальне злиття треків, буфер до 4 год, міст до ядра з класами пріоритету: завдання &gt; треки &gt; телеметрія &gt; відео.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Ядро (рис. 2.4, табл. 2.7).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Точки входу — шлюз прийому, інтеграційний адаптер, API-шлюз; дев’ять мікросервісів навколо шини подій; кожному відповідають FR з ПР1.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Застосунки (табл. 2.8).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АРМ КП, мобільний застосунок, АРМ служб, інтеграційні інтерфейси; усі запити — лише через API-шлюз, який перевіряє права.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Розміщення (табл. 2.9).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9 + 2 шлюзи на позиціях, основний і резервний кластери ядра у двох ЦОД, АРМ у браузері; сервіси постачаються як контейнери.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Навіщо API-шлюз?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Єдина точка входу для застосунків (шаблон «Фасад»): перевірка прав, маршрутизація, кеш стану обстановки (шаблон «Проксі»).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Що буде, якщо зв’язок позиції з ядром зникне?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Шлюз працює автономно: локально зливає треки і буферизує дані до 4 год, а після відновлення передає їх з первинними мітками часу.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класи пріоритету трафіку саме такі?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Бойове завдання критичніше за все (≤ 1 с), далі треки для обстановки, телеметрія, і лише потім відео, яке найважче і найменш критичне.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Кожен мікросервіс прив’язаний до функціональних вимог ПР1 — це видно в останньому стовпці табл. 2.7.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