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Наскрізний потік даних, бюджет затримок, безпека, шаблони та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Діаграма послідовності; бюджет затримок; принципи SOLID і шаблони (лекція 5)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4.7–4.10; рис. 2.5; табл. 2.10–2.13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tspp_work/pract2/ПР2_Кравченко_ІР-31.docx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Доводить, що архітектура справді виконує нефункціональні вимоги.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Рис. 2.5 показує ключовий сценарій «виявлення — обстановка — завдання розрахунку»; табл. 2.10 розподіляє бюджет NFR-01 (2 с до екрана) між рівнями архітектури.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Бюджет затримок.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Сенсор → шлюз ≤ 300 мс, обробка на шлюзі ≤ 100 мс, шлюз → шина ≤ 400 мс, злиття треків ≤ 500 мс і т. д. — сума вкладається в 2 с з запасом.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Безпека за рівнями (табл. 2.11).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Датчики — сертифікати X.509 і підпис MAVLink; мережа — VPN з mTLS, TLS 1.3; ядро — шифрування AES-256, журнал аудиту; застосунки — 2FA і рольовий доступ.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Надійність.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Два ЦОД з реплікацією (відновлення ≤ 60 с), автономність шлюзів ≥ 4 год.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Шаблони (табл. 2.12).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Адаптер — протоколи; Фасад — API-шлюз; Проксі — кеш і перевірка прав; Спостерігач — підписка на події.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SOLID.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Наприклад, відкритість/закритість: новий сервіс під’єднується до потоку подій без змін у видавцях.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Трасування (табл. 2.13).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Кожна NFR, що визначає архітектуру, має щонайменше одне рішення.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Розшифруйте SOLID.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Single responsibility, Open/closed, Liskov substitution, Interface segregation, Dependency inversion — єдина відповідальність, відкритість/закритість, підстановка Лісков, розділення інтерфейсів, інверсія залежностей.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ви перевірите бюджет затримок?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Навантажувальним тестом з мітками часу на кожному етапі; у ЛР2 вже виміряно етап обробки виявлення в ядрі — близько 8 мс.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в архітектурі шаблон «Спостерігач»?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Сервіси й застосунки підписані на потоки подій шини; у реалізації ЛР2 — тригери БД, що реагують на зміну запису.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Бюджет затримок розписано за етапами, тому видно, що 2 с — досяжна вимога, а не побажання.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