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4 · Проектування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UML: фізична модель — класи БД, компоненти, розгортання; CASE і генерація 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Class (фізичний рівень), Component, Deployment; пряме проектування (forward engineering)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2.5–2.6; рис. 4.11–4.15; табл. 4.2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tspp_work/pract4/ПР4_Кравченко_ІР-31.docx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Переводить модель на конкретну платформу: PostgreSQL, модулі, вузли.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Фізична модель — це структура даних у термінах PostgreSQL (рис. 4.11), компоненти системи (рис. 4.12) і розміщення на вузлах (рис. 4.13). З фізичної діаграми класів автоматично згенеровано SQL-скрипт (рис. 4.15).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Правила переходу до фізичного рівня.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Клас → таблиця «table»; сурогатний ключ UUID; асоціація 1 — * → зовнішній ключ на боці «багато»; 0..1 → NULL; композиція «Місія — Звіт» → унікальний FK; обмежені множини → ENUM; час → TIMESTAMPTZ.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4.12 — компоненти.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Три пакети: периферійний шлюз, IoT-ядро, застосунки; застосунки залежать лише від API-шлюзу — слабка зв’язаність.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4.13 — розгортання.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Позиція (9 екземплярів) зі шлюзом на Jetson Orin Nano, кластер ядра з БД і реплікацією в резервний ЦОД, АРМ через HTTPS; канали шлюз — ядро через VPN з mTLS.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4.14 — CASE-ланцюжок.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Моделі як текст під Git → рендер → контроль читабельності.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4.15 — пряме проектування.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Генератор зчитує фізичну діаграму класів і діаграму станів: значення mission_state беруться прямо зі станів. Скрипт перевірено в PostgreSQL 18.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UUID, а не автоінкремент?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UUID генерується на периферійному вузлі без звернення до центру, тож ключі не конфліктують при синхронізації після автономної роботи.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діаграма компонентів відрізняється від розгортання?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Компоненти — програмні модулі та залежності між ними; розгортання — фізичні вузли, на яких ці компоненти виконуються, і канали між вузлами.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forward engineering?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Генерація коду з моделі; у нас — SQL DDL з діаграми класів. Зворотне (reverse) — побудова моделі з існуючого коду чи БД.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Фізична модель далі розширена в ЛР1 до 18 таблиць і реалізована в ЛР2.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у чому малювали: моделі задано текстом (BPMN — XML, UML — PlantUML, IDEF0 — власний генератор) під Git, а рисунки отримано автоматично з контролем читабельності; підрозділ 2.6 і рис. 4.14 описують цей ланцюжок.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