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69" w:lineRule="auto"/>
      </w:pPr>
      <w:r>
        <w:rPr>
          <w:rFonts w:ascii="Times New Roman" w:hAnsi="Times New Roman" w:eastAsia="Times New Roman"/>
          <w:b w:val="0"/>
          <w:i/>
          <w:color w:val="595959"/>
          <w:sz w:val="21"/>
        </w:rPr>
        <w:t>СУФЛЕР ДО ЗАХИСТУ · ЛР 1 · Структура системи управління кібербезпекою підприємства та стандарти</w:t>
      </w:r>
    </w:p>
    <w:p>
      <w:pPr>
        <w:spacing w:before="0" w:after="120" w:line="269" w:lineRule="auto"/>
      </w:pPr>
      <w:r>
        <w:rPr>
          <w:rFonts w:ascii="Times New Roman" w:hAnsi="Times New Roman" w:eastAsia="Times New Roman"/>
          <w:b/>
          <w:i w:val="0"/>
          <w:sz w:val="34"/>
        </w:rPr>
        <w:t>ТЦК та СП як об’єкт: контекст, активи, порушники, загрози, модель і периметр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Дисципліна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Кібернетична безпека підприємства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Тема відповіді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Контекст СУІБ, реєстр активів, модель порушника, STRIDE, модель системи ІБ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Що показати у звіті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Розділи 4–5; рис. 1.1–1.4; табл. 1.4–1.7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Звіт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cybersec_work/lab1/ЛР1_Кравченко_ІР-31.docx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Порядок показу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3 з 5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Роль у роботі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Головна прикладна частина — модель системи ІБ за варіантом.</w:t>
            </w:r>
          </w:p>
        </w:tc>
      </w:tr>
    </w:tbl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1. З чого почати відповідь</w:t>
      </w:r>
    </w:p>
    <w:p>
      <w:pPr>
        <w:spacing w:before="0" w:after="80" w:line="269" w:lineRule="auto"/>
        <w:ind w:left="227"/>
      </w:pPr>
      <w:r>
        <w:rPr>
          <w:rFonts w:ascii="Times New Roman" w:hAnsi="Times New Roman" w:eastAsia="Times New Roman"/>
          <w:b w:val="0"/>
          <w:i w:val="0"/>
          <w:sz w:val="27"/>
        </w:rPr>
        <w:t>Розділ 4 описує ТЦК як об’єкт і область застосування СУІБ, розділ 5 — модель системи інформаційної безпеки: що захищаємо, від кого, від яких загроз і як побудовано периметр.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2. Покрокова відповідь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1. </w:t>
      </w:r>
      <w:r>
        <w:rPr>
          <w:rFonts w:ascii="Times New Roman" w:hAnsi="Times New Roman" w:eastAsia="Times New Roman"/>
          <w:b/>
          <w:i w:val="0"/>
          <w:sz w:val="26"/>
        </w:rPr>
        <w:t>Рис. 1.1 — структура з ролями СУІБ.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Начальник — власник ризиків, заступник — керівник СУІБ, служба захисту інформації разом з РСО контролює політики.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2. </w:t>
      </w:r>
      <w:r>
        <w:rPr>
          <w:rFonts w:ascii="Times New Roman" w:hAnsi="Times New Roman" w:eastAsia="Times New Roman"/>
          <w:b/>
          <w:i w:val="0"/>
          <w:sz w:val="26"/>
        </w:rPr>
        <w:t>Табл. 1.4 — процеси П1–П7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в області застосування: облік, оповіщення, ВЛК, мобілізаційна робота, прийом і е-черга, соцпідтримка, міжвідомчий обмін.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3. </w:t>
      </w:r>
      <w:r>
        <w:rPr>
          <w:rFonts w:ascii="Times New Roman" w:hAnsi="Times New Roman" w:eastAsia="Times New Roman"/>
          <w:b/>
          <w:i w:val="0"/>
          <w:sz w:val="26"/>
        </w:rPr>
        <w:t>Рис. 1.2 — PDCA.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Планування (розділи 4–6), виконання (7–8), перевірка (9), поліпшення (10).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4. </w:t>
      </w:r>
      <w:r>
        <w:rPr>
          <w:rFonts w:ascii="Times New Roman" w:hAnsi="Times New Roman" w:eastAsia="Times New Roman"/>
          <w:b/>
          <w:i w:val="0"/>
          <w:sz w:val="26"/>
        </w:rPr>
        <w:t>Табл. 1.5 — 12 активів.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Оцінка за К, Ц, Д від 1 до 3; максимальну критичність за всіма трьома мають 5 активів: Реєстр, мобілізаційні документи, засоби КЗІ, канали обміну, процес мобілізації.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5. </w:t>
      </w:r>
      <w:r>
        <w:rPr>
          <w:rFonts w:ascii="Times New Roman" w:hAnsi="Times New Roman" w:eastAsia="Times New Roman"/>
          <w:b/>
          <w:i w:val="0"/>
          <w:sz w:val="26"/>
        </w:rPr>
        <w:t>Табл. 1.6 — 6 порушників.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Від APT-угруповання (рівень 4) до необізнаного працівника (рівень 1); найнебезпечніше поєднання — зовнішній APT плюс інсайдер, тому модель захисту — Zero Trust.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6. </w:t>
      </w:r>
      <w:r>
        <w:rPr>
          <w:rFonts w:ascii="Times New Roman" w:hAnsi="Times New Roman" w:eastAsia="Times New Roman"/>
          <w:b/>
          <w:i w:val="0"/>
          <w:sz w:val="26"/>
        </w:rPr>
        <w:t>Табл. 1.7 — 10 загроз за STRIDE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з вразливостями, порушниками й активами.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7. </w:t>
      </w:r>
      <w:r>
        <w:rPr>
          <w:rFonts w:ascii="Times New Roman" w:hAnsi="Times New Roman" w:eastAsia="Times New Roman"/>
          <w:b/>
          <w:i w:val="0"/>
          <w:sz w:val="26"/>
        </w:rPr>
        <w:t>Рис. 1.3 і 1.4.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Модель системи ІБ за структурою рисунка 1.1 методички; периметр із п’ятьма зонами довіри: ДМЗ, криптошлюз, ЛОМ з КСЗІ, зона керування безпекою, ізольовані АРМ РСО.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3. Підводні камені та типові питання викладача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Що таке модель порушника?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Формалізований опис потенційного суб’єкта загрози: його мотивація, рівень доступу, знання й можливості; у нас — шість типів з рівнями від 1 до 4.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Розшифруйте STRIDE.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Spoofing — підміна особи, Tampering — модифікація даних, Repudiation — заперечення дій, Information disclosure — розкриття інформації, Denial of service — відмова в обслуговуванні, Elevation of privilege — підвищення привілеїв.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Навіщо зона 5 без мережі?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Для мобілізаційних документів з грифом секретності: ізольовані автономні АРМ РСО унеможливлюють віддалену атаку взагалі.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Що таке Zero Trust?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Принцип «не довіряй за замовчуванням»: кожен доступ перевіряється, навіть зсередини мережі, бо інсайдер чи скомпрометований постачальник уже за периметром.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4. Що відповісти, якщо придереться</w:t>
      </w:r>
    </w:p>
    <w:p>
      <w:pPr>
        <w:spacing w:before="0" w:after="60" w:line="269" w:lineRule="auto"/>
        <w:ind w:left="340" w:hanging="283"/>
      </w:pPr>
      <w:r>
        <w:rPr>
          <w:rFonts w:ascii="Times New Roman" w:hAnsi="Times New Roman" w:eastAsia="Times New Roman"/>
          <w:b w:val="0"/>
          <w:i w:val="0"/>
          <w:color w:val="1F3864"/>
          <w:sz w:val="26"/>
        </w:rPr>
        <w:t xml:space="preserve">▸ </w:t>
      </w:r>
      <w:r>
        <w:rPr>
          <w:rFonts w:ascii="Times New Roman" w:hAnsi="Times New Roman" w:eastAsia="Times New Roman"/>
          <w:b w:val="0"/>
          <w:i w:val="0"/>
          <w:sz w:val="26"/>
        </w:rPr>
        <w:t>Рис. 1.3 повторює структуру рисунка 1.1 методичних рекомендацій, лише з наповненням за варіантом.</w:t>
      </w:r>
    </w:p>
    <w:p>
      <w:pPr>
        <w:spacing w:before="0" w:after="60" w:line="269" w:lineRule="auto"/>
        <w:ind w:left="340" w:hanging="283"/>
      </w:pPr>
      <w:r>
        <w:rPr>
          <w:rFonts w:ascii="Times New Roman" w:hAnsi="Times New Roman" w:eastAsia="Times New Roman"/>
          <w:b w:val="0"/>
          <w:i w:val="0"/>
          <w:color w:val="1F3864"/>
          <w:sz w:val="26"/>
        </w:rPr>
        <w:t xml:space="preserve">▸ </w:t>
      </w:r>
      <w:r>
        <w:rPr>
          <w:rFonts w:ascii="Times New Roman" w:hAnsi="Times New Roman" w:eastAsia="Times New Roman"/>
          <w:b w:val="0"/>
          <w:i w:val="0"/>
          <w:sz w:val="26"/>
        </w:rPr>
        <w:t>Якщо спитають про реальний ТЦК: модель умовна, побудована лише на відкритих нормативних джерелах — про це примітка в розділі 1; жодних службових відомостей у роботі немає.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