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Управління ризиками, Декларація про застосовність, NIST CSF і національна база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 = ймовірність × вплив; обробка ризиків; заходи додатка A; NIST CSF 2.0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6; рис. 1.5; табл. 1.8, 1.9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Показує, як від загроз переходимо до конкретних заходів.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Процес управління ризиками (рис. 1.5) має шість складових: опис бізнес-процесів, збір ризиків, оцінка, планування заходів, реалізація, оцінка ефективності.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Шкала.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Ризик = ймовірність (1–5) × вплив (1–5); 1–7 — низький, 8–14 — середній, 15–25 — високий.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 ризиків: 4 високі (З-01 фішинг — 20; З-02 корупційна зміна записів — 15; З-03 витік даних — 15; З-06 програма-вимагач — 15), 6 середніх, низьких немає.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Обробка.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Високі — обов’язкове зменшення; середні — зменшення в межах ресурсів.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загрози — заходи додатка A, категорії NIST CSF 2.0 і вид заходу. Напр., З-01: 5.17, 8.5 (MFA), PR.AA/PR.AT, програмний і організаційний.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Розподіл за NIST CSF.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Protect — 9, Detect — 3, Recover — 3, Govern — 2, Identify — 2, Respond — 1: переважання Protect закономірне на етапі створення СУІБ.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Два контури.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Сертифікація за ISO 27001 добровільна, а національні вимоги обов’язкові: КСЗІ за НД ТЗІ, режим секретності, захист персональних даних, взаємодія з CERT-UA.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Декларація про застосовність?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Документ, у якому організація для кожного з 93 заходів додатка A вказує, чи застосовує його і чому; основа для нас — табл. 1.9.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найбільші ризики — фішинг і інсайдер, а не зовнішній злам?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Людський чинник обходить периметр: фішинг дає легітимні облікові дані, інсайдер уже має доступ; тому пріоритет — MFA, розподіл обов’язків, журналювання й навчання.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оцінюється ефективність СУІБ?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Моніторингом і метриками (частка операторів з MFA, час реагування), внутрішнім аудитом і аналізом керівництвом — розділ 9 стандарту.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Кожна загроза доведена до конкретних номерів заходів стандарту, а не загальних порад.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