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Функціональна модель верхнього рівня: взаємодія функцій РЦПДО «Щит-Північ»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діаграма співпраці (Collaboration) зі згорнутими пулами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lab2/drawio/01_Взаємодія_функцій_верхній_рівень.drawio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Карта всієї BPMN-моделі: п’ять функцій центру і чотири зовнішні учасники, пов’язані потоками повідомлень.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верхній рівень моєї BPMN-моделі — карта взаємодії. Кожна функція центру показана згорнутим пулом, зовнішні учасники теж пулами, а пунктирні стрілки — потоки повідомлень, тобто обміни інформацією між учасниками.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BPMN обрано, бо за лекцією 3 це нотація, зрозуміла і бізнес-аналітику, і розробнику, і керівнику; вона дає не просто малюнок, а модель, з якої можна отримати звіти і яку можна виконати.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П’ять функціональних пулів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 центрі: «Моніторинг повітряної обстановки», «Призначення цілі та санкціонування пуску», «Виконання місії перехоплення», «Оцінка результату та звітність», «Забезпечення готовності ресурсів».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Зовнішні учасники</w:t>
      </w:r>
      <w:r>
        <w:rPr>
          <w:rFonts w:ascii="Times New Roman" w:hAnsi="Times New Roman" w:eastAsia="Times New Roman"/>
          <w:b w:val="0"/>
          <w:i w:val="0"/>
          <w:sz w:val="26"/>
        </w:rPr>
        <w:t>: «Сенсорна мережа», «Вищий командний пункт (Повітряні сили ЗСУ)», «Постачальник», «ДСНС».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Основний ланцюжок</w:t>
      </w:r>
      <w:r>
        <w:rPr>
          <w:rFonts w:ascii="Times New Roman" w:hAnsi="Times New Roman" w:eastAsia="Times New Roman"/>
          <w:b w:val="0"/>
          <w:i w:val="0"/>
          <w:sz w:val="26"/>
        </w:rPr>
        <w:t>: «Виявлення цілей» → моніторинг → «Підтверджена ціль» → призначення → «Бойове завдання» → виконання місії → «Доповідь про результат» → оцінка → «Звіт про перехоплення» вищому КП.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Зворотні обміни</w:t>
      </w:r>
      <w:r>
        <w:rPr>
          <w:rFonts w:ascii="Times New Roman" w:hAnsi="Times New Roman" w:eastAsia="Times New Roman"/>
          <w:b w:val="0"/>
          <w:i w:val="0"/>
          <w:sz w:val="26"/>
        </w:rPr>
        <w:t>: «Прийняття / відмова» від місії до призначення; «Готовність розрахунків» від забезпечення до призначення — це замикає цикл.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Обміни з зовнішніми</w:t>
      </w:r>
      <w:r>
        <w:rPr>
          <w:rFonts w:ascii="Times New Roman" w:hAnsi="Times New Roman" w:eastAsia="Times New Roman"/>
          <w:b w:val="0"/>
          <w:i w:val="0"/>
          <w:sz w:val="26"/>
        </w:rPr>
        <w:t>: «Плани польотів» і «Запит на погодження» з вищим КП, «Координати падіння» для ДСНС, «Заявка на поповнення» постачальнику. Всього 12 потоків повідомлень.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Позначення потоку повідомлень</w:t>
      </w:r>
      <w:r>
        <w:rPr>
          <w:rFonts w:ascii="Times New Roman" w:hAnsi="Times New Roman" w:eastAsia="Times New Roman"/>
          <w:b w:val="0"/>
          <w:i w:val="0"/>
          <w:sz w:val="26"/>
        </w:rPr>
        <w:t>: пунктир з порожнім кружком на початку і порожнім трикутником на кінці.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тут потоки повідомлень, а не потоки управління (суцільні)?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стрілки йдуть між різними пулами. За BPMN потік управління не може перетинати межу пулу — між учасниками можливий тільки обмін повідомленнями.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функції центру — окремі пули, а не доріжки одного пулу?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 вимагає завдання: кожну функцію показати окремим пулом. До того ж кожна функція має власний процес зі своїм початком і кінцем, а пул у BPMN — це саме окремий процес-учасник.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Пули згорнуті — де тоді процес?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Згорнутий пул — «чорна скринька», тут важливі тільки обміни. Розгорнуті процеси кожної функції — на наступних семи діаграмах.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Ця діаграма — аналог контекстної діаграми, але в BPMN: вона узгоджена з таблицею функціональних взаємозв’язків ЛР1, кожен рядок таблиці став потоком повідомлень.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