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декомпозиції А0 «Забезпечити перехоплення повітряних цілей»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IDEF0, діаграма декомпозиції першого рівня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lab3/drawio/02_Декомпозиція_А0.drawio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Розкриває контекстний блок на п’ять функцій A1–A5, які один до одного відповідають пулам P1–P5 з BPMN (ЛР2).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декомпозиція контекстного блоку на п’ять робіт: сформувати обстановку, призначити перехоплення, виконати місію, оцінити результат і забезпечити готовність ресурсів. Вони стоять по діагоналі за домінуванням — зліва згори найважливіша, яка запускає решту.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П’ять блоків — у межах правила лекції «від 3 до 6 блоків на неконтекстній діаграмі», і кожен блок — це окремий пул моєї BPMN-моделі, тож моделі різних лабораторних узгоджені.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A1 «Сформувати повітряну обстановку».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Вхід — I1 «Сигнали сенсорів», управління — C1 «Накази та правила застосування». Виходи: O1 «Повітряна обстановка» на межу і «Підтверджена ціль» до A2. Механізми: персонал КП і платформа.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A2 «Призначити перехоплення цілі».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Вхід — «Підтверджена ціль» від A1 (зв’язок «вихід — вхід»). Три управління: C1 накази, C2 плани польотів дружньої авіації і «Дані про готовність» від A5. Вихід — «Бойове завдання».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A3 «Виконати місію перехоплення».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«Бойове завдання» заходить у нього </w:t>
      </w:r>
      <w:r>
        <w:rPr>
          <w:rFonts w:ascii="Times New Roman" w:hAnsi="Times New Roman" w:eastAsia="Times New Roman"/>
          <w:b/>
          <w:i w:val="0"/>
          <w:sz w:val="26"/>
        </w:rPr>
        <w:t>згори, як 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це зв’язок «вихід — управління»: завдання регламентує, що робить розрахунок. Вхід — «Готові перехоплювачі» від A5. Виходи: O2 «Результати перехоплення», «Доповідь про результат» до A4 і «Дані про витрату» до A5. Механізми — M2 розрахунки і M3 платформа.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A4 «Оцінити результат і звітувати».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Вхід — доповідь від A3, управління — C3 «Нормативні вимоги», вихід — O3 «Звіти про перехоплення».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A5 «Забезпечити готовність ресурсів».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Входи: I2 «Перехоплювачі та АКБ» і «Дані про витрату». Виходи: O4 «Заявки на поповнення» на межу та два </w:t>
      </w:r>
      <w:r>
        <w:rPr>
          <w:rFonts w:ascii="Times New Roman" w:hAnsi="Times New Roman" w:eastAsia="Times New Roman"/>
          <w:b/>
          <w:i w:val="0"/>
          <w:sz w:val="26"/>
        </w:rPr>
        <w:t>зворотні зв’язки</w:t>
      </w:r>
      <w:r>
        <w:rPr>
          <w:rFonts w:ascii="Times New Roman" w:hAnsi="Times New Roman" w:eastAsia="Times New Roman"/>
          <w:b w:val="0"/>
          <w:i w:val="0"/>
          <w:sz w:val="26"/>
        </w:rPr>
        <w:t>: «Готові перехоплювачі» назад до A3 (за входом) і «Дані про готовність» назад до A2 (за управлінням). Вони йдуть праворуч-вгору — так і малюється зворотний зв’язок.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ICOM-коди на межі.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I1–I2, C1–C3, O1–O4, M1–M4 збігаються зі стрілками контекстної діаграми — це ICOM-кодогенерація з лекції, вона гарантує цілісність батьківської і дочірньої діаграм.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Розгалуження.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C1, C3, M1 і M3 мають спільне джерело, тому за правилом 7 лекції вони об’єднані і розгалужуються — точки розгалуження позначені крапками. «Хвилясті» лінії (тильди) прив’язують підпис до своєї стрілки.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«Бойове завдання» входить в A3 згори, а не зліва?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Тому що це зв’язок «вихід — управління»: завдання не переробляється розрахунком, воно визначає ціль, час і обмеження місії. Лекція 4 показує саме такий тип зв’язку («Управління», A1 → A2).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зворотний зв’язок?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Два: «Дані про готовність» від A5 до A2 — зворотний зв’язок за управлінням, і «Готові перехоплювачі» від A5 до A3 — за входом. Обидва йдуть від блоку нижче-праворуч до блоку вище-ліворуч, як і має бути при діагональному розташуванні.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У кожного блоку є управління? Перевірте A5.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Так. Правило 5: хоча б одне управління й один вихід. В A5 управління — C3 «Нормативні вимоги», вихід — O4 і два зворотні зв’язки. У A4 теж C3. У A3 — C1 і «Бойове завдання».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станеться при втраті зв’язку з ядром — де це на діаграмі?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 рівні А0 цього не видно, бо IDEF0 описує функції, а не стан каналів. Це врахував у механізмі «IoT-платформа»: периферійні шлюзи працюють автономно щонайменше 4 год (ЛР7). На функціональній моделі функції A2–A3 від цього не змінюються, змінюється лише виконавець.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Перетинів стрілок мінімально можливо при п’яти блоках і 19 стрілках; правило 6 лекції вимагає «прагнути до зменшення», а не повністю виключати перетини.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Блоки A1–A5 названо так само, як пули BPMN, щоб викладач бачила наскрізну модель ЛР2 → ЛР3 → ЛР4.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