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40" w:line="269" w:lineRule="auto"/>
      </w:pPr>
      <w:r>
        <w:rPr>
          <w:rFonts w:ascii="Times New Roman" w:hAnsi="Times New Roman" w:eastAsia="Times New Roman"/>
          <w:b w:val="0"/>
          <w:i/>
          <w:color w:val="595959"/>
          <w:sz w:val="21"/>
        </w:rPr>
        <w:t>СУФЛЕР ДО ЗАХИСТУ · ЛР 3 · Функціональне моделювання IDEF0 / IDEF3</w:t>
      </w:r>
    </w:p>
    <w:p>
      <w:pPr>
        <w:spacing w:before="0" w:after="120" w:line="269" w:lineRule="auto"/>
      </w:pPr>
      <w:r>
        <w:rPr>
          <w:rFonts w:ascii="Times New Roman" w:hAnsi="Times New Roman" w:eastAsia="Times New Roman"/>
          <w:b/>
          <w:i w:val="0"/>
          <w:sz w:val="34"/>
        </w:rPr>
        <w:t>Діаграма декомпозиції A2 «Призначити перехоплення цілі»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2381"/>
            <w:shd w:val="clear" w:color="auto" w:fill="E8EEF7"/>
          </w:tcPr>
          <w:p>
            <w:r/>
            <w:r>
              <w:rPr>
                <w:rFonts w:ascii="Times New Roman" w:hAnsi="Times New Roman" w:eastAsia="Times New Roman"/>
                <w:b/>
                <w:i w:val="0"/>
                <w:sz w:val="23"/>
              </w:rPr>
              <w:t>Дисципліна</w:t>
            </w:r>
          </w:p>
        </w:tc>
        <w:tc>
          <w:tcPr>
            <w:tcW w:type="dxa" w:w="7257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3"/>
              </w:rPr>
              <w:t>Проєктування інформаційних систем</w:t>
            </w:r>
          </w:p>
        </w:tc>
      </w:tr>
      <w:tr>
        <w:tc>
          <w:tcPr>
            <w:tcW w:type="dxa" w:w="2381"/>
            <w:shd w:val="clear" w:color="auto" w:fill="E8EEF7"/>
          </w:tcPr>
          <w:p>
            <w:r/>
            <w:r>
              <w:rPr>
                <w:rFonts w:ascii="Times New Roman" w:hAnsi="Times New Roman" w:eastAsia="Times New Roman"/>
                <w:b/>
                <w:i w:val="0"/>
                <w:sz w:val="23"/>
              </w:rPr>
              <w:t>Нотація</w:t>
            </w:r>
          </w:p>
        </w:tc>
        <w:tc>
          <w:tcPr>
            <w:tcW w:type="dxa" w:w="7257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3"/>
              </w:rPr>
              <w:t>IDEF0, діаграма декомпозиції другого рівня</w:t>
            </w:r>
          </w:p>
        </w:tc>
      </w:tr>
      <w:tr>
        <w:tc>
          <w:tcPr>
            <w:tcW w:type="dxa" w:w="2381"/>
            <w:shd w:val="clear" w:color="auto" w:fill="E8EEF7"/>
          </w:tcPr>
          <w:p>
            <w:r/>
            <w:r>
              <w:rPr>
                <w:rFonts w:ascii="Times New Roman" w:hAnsi="Times New Roman" w:eastAsia="Times New Roman"/>
                <w:b/>
                <w:i w:val="0"/>
                <w:sz w:val="23"/>
              </w:rPr>
              <w:t>Файл draw.io</w:t>
            </w:r>
          </w:p>
        </w:tc>
        <w:tc>
          <w:tcPr>
            <w:tcW w:type="dxa" w:w="7257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3"/>
              </w:rPr>
              <w:t>lab3/drawio/04_Декомпозиція_А2.drawio</w:t>
            </w:r>
          </w:p>
        </w:tc>
      </w:tr>
      <w:tr>
        <w:tc>
          <w:tcPr>
            <w:tcW w:type="dxa" w:w="2381"/>
            <w:shd w:val="clear" w:color="auto" w:fill="E8EEF7"/>
          </w:tcPr>
          <w:p>
            <w:r/>
            <w:r>
              <w:rPr>
                <w:rFonts w:ascii="Times New Roman" w:hAnsi="Times New Roman" w:eastAsia="Times New Roman"/>
                <w:b/>
                <w:i w:val="0"/>
                <w:sz w:val="23"/>
              </w:rPr>
              <w:t>Порядок показу</w:t>
            </w:r>
          </w:p>
        </w:tc>
        <w:tc>
          <w:tcPr>
            <w:tcW w:type="dxa" w:w="7257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3"/>
              </w:rPr>
              <w:t>4 з 10</w:t>
            </w:r>
          </w:p>
        </w:tc>
      </w:tr>
      <w:tr>
        <w:tc>
          <w:tcPr>
            <w:tcW w:type="dxa" w:w="2381"/>
            <w:shd w:val="clear" w:color="auto" w:fill="E8EEF7"/>
          </w:tcPr>
          <w:p>
            <w:r/>
            <w:r>
              <w:rPr>
                <w:rFonts w:ascii="Times New Roman" w:hAnsi="Times New Roman" w:eastAsia="Times New Roman"/>
                <w:b/>
                <w:i w:val="0"/>
                <w:sz w:val="23"/>
              </w:rPr>
              <w:t>Роль у системі</w:t>
            </w:r>
          </w:p>
        </w:tc>
        <w:tc>
          <w:tcPr>
            <w:tcW w:type="dxa" w:w="7257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3"/>
              </w:rPr>
              <w:t>Деталізує ключову для скорочення циклу «виявлення — рішення — перехоплення» функцію: від підтвердженої цілі до бойового завдання.</w:t>
            </w:r>
          </w:p>
        </w:tc>
      </w:tr>
    </w:tbl>
    <w:p>
      <w:pPr>
        <w:keepNext/>
        <w:spacing w:before="200" w:after="80" w:line="269" w:lineRule="auto"/>
        <w:pBdr>
          <w:bottom w:val="single" w:sz="6" w:space="1" w:color="1F3864"/>
        </w:pBdr>
      </w:pPr>
      <w:r>
        <w:rPr>
          <w:rFonts w:ascii="Times New Roman" w:hAnsi="Times New Roman" w:eastAsia="Times New Roman"/>
          <w:b/>
          <w:i w:val="0"/>
          <w:color w:val="1F3864"/>
          <w:sz w:val="28"/>
        </w:rPr>
        <w:t>1. З чого почати відповідь</w:t>
      </w:r>
    </w:p>
    <w:p>
      <w:pPr>
        <w:spacing w:before="0" w:after="80" w:line="269" w:lineRule="auto"/>
        <w:ind w:left="227"/>
      </w:pPr>
      <w:r>
        <w:rPr>
          <w:rFonts w:ascii="Times New Roman" w:hAnsi="Times New Roman" w:eastAsia="Times New Roman"/>
          <w:b w:val="0"/>
          <w:i w:val="0"/>
          <w:sz w:val="27"/>
        </w:rPr>
        <w:t>Діаграма A2 показує, як підтверджена ціль перетворюється на бойове завдання для розрахунку: деконфлікція, вибір розрахунку, санкціонування пуску і передача завдання.</w:t>
      </w:r>
    </w:p>
    <w:p>
      <w:pPr>
        <w:spacing w:before="0" w:after="80" w:line="269" w:lineRule="auto"/>
        <w:ind w:left="227"/>
      </w:pPr>
      <w:r>
        <w:rPr>
          <w:rFonts w:ascii="Times New Roman" w:hAnsi="Times New Roman" w:eastAsia="Times New Roman"/>
          <w:b w:val="0"/>
          <w:i w:val="0"/>
          <w:sz w:val="27"/>
        </w:rPr>
        <w:t>Головна думка — людина в контурі управління: платформа перевіряє і пропонує, а дозвіл на пуск дає оперативний черговий за правилом двох осіб.</w:t>
      </w:r>
    </w:p>
    <w:p>
      <w:pPr>
        <w:keepNext/>
        <w:spacing w:before="200" w:after="80" w:line="269" w:lineRule="auto"/>
        <w:pBdr>
          <w:bottom w:val="single" w:sz="6" w:space="1" w:color="1F3864"/>
        </w:pBdr>
      </w:pPr>
      <w:r>
        <w:rPr>
          <w:rFonts w:ascii="Times New Roman" w:hAnsi="Times New Roman" w:eastAsia="Times New Roman"/>
          <w:b/>
          <w:i w:val="0"/>
          <w:color w:val="1F3864"/>
          <w:sz w:val="28"/>
        </w:rPr>
        <w:t>2. Покрокова екскурсія по схемі</w:t>
      </w:r>
    </w:p>
    <w:p>
      <w:pPr>
        <w:spacing w:before="0" w:after="80" w:line="269" w:lineRule="auto"/>
        <w:ind w:left="510" w:hanging="510"/>
      </w:pPr>
      <w:r>
        <w:rPr>
          <w:rFonts w:ascii="Times New Roman" w:hAnsi="Times New Roman" w:eastAsia="Times New Roman"/>
          <w:b/>
          <w:i w:val="0"/>
          <w:color w:val="1F3864"/>
          <w:sz w:val="26"/>
        </w:rPr>
        <w:t xml:space="preserve">1. </w:t>
      </w:r>
      <w:r>
        <w:rPr>
          <w:rFonts w:ascii="Times New Roman" w:hAnsi="Times New Roman" w:eastAsia="Times New Roman"/>
          <w:b/>
          <w:i w:val="0"/>
          <w:sz w:val="26"/>
        </w:rPr>
        <w:t>A21 «Перевірити деконфлікцію».</w:t>
      </w:r>
      <w:r>
        <w:rPr>
          <w:rFonts w:ascii="Times New Roman" w:hAnsi="Times New Roman" w:eastAsia="Times New Roman"/>
          <w:b w:val="0"/>
          <w:i w:val="0"/>
          <w:sz w:val="26"/>
        </w:rPr>
        <w:t xml:space="preserve"> Вхід I1 «Підтверджена ціль» з A1, управління C2 «Плани польотів дружньої авіації». Виконує платформа (M2) автоматично — перевіряє зони заборони ураження. Вихід — «Ціль без конфліктів».</w:t>
      </w:r>
    </w:p>
    <w:p>
      <w:pPr>
        <w:spacing w:before="0" w:after="80" w:line="269" w:lineRule="auto"/>
        <w:ind w:left="510" w:hanging="510"/>
      </w:pPr>
      <w:r>
        <w:rPr>
          <w:rFonts w:ascii="Times New Roman" w:hAnsi="Times New Roman" w:eastAsia="Times New Roman"/>
          <w:b/>
          <w:i w:val="0"/>
          <w:color w:val="1F3864"/>
          <w:sz w:val="26"/>
        </w:rPr>
        <w:t xml:space="preserve">2. </w:t>
      </w:r>
      <w:r>
        <w:rPr>
          <w:rFonts w:ascii="Times New Roman" w:hAnsi="Times New Roman" w:eastAsia="Times New Roman"/>
          <w:b/>
          <w:i w:val="0"/>
          <w:sz w:val="26"/>
        </w:rPr>
        <w:t>A22 «Обрати розрахунок».</w:t>
      </w:r>
      <w:r>
        <w:rPr>
          <w:rFonts w:ascii="Times New Roman" w:hAnsi="Times New Roman" w:eastAsia="Times New Roman"/>
          <w:b w:val="0"/>
          <w:i w:val="0"/>
          <w:sz w:val="26"/>
        </w:rPr>
        <w:t xml:space="preserve"> Управління — «Дані про готовність» (на А0 це зворотний зв’язок від A5). Механізми — персонал КП і платформа: система ранжує кандидатів, офіцер бойового управління обирає. Вихід — «Кандидатура розрахунку».</w:t>
      </w:r>
    </w:p>
    <w:p>
      <w:pPr>
        <w:spacing w:before="0" w:after="80" w:line="269" w:lineRule="auto"/>
        <w:ind w:left="510" w:hanging="510"/>
      </w:pPr>
      <w:r>
        <w:rPr>
          <w:rFonts w:ascii="Times New Roman" w:hAnsi="Times New Roman" w:eastAsia="Times New Roman"/>
          <w:b/>
          <w:i w:val="0"/>
          <w:color w:val="1F3864"/>
          <w:sz w:val="26"/>
        </w:rPr>
        <w:t xml:space="preserve">3. </w:t>
      </w:r>
      <w:r>
        <w:rPr>
          <w:rFonts w:ascii="Times New Roman" w:hAnsi="Times New Roman" w:eastAsia="Times New Roman"/>
          <w:b/>
          <w:i w:val="0"/>
          <w:sz w:val="26"/>
        </w:rPr>
        <w:t>A23 «Санкціонувати пуск».</w:t>
      </w:r>
      <w:r>
        <w:rPr>
          <w:rFonts w:ascii="Times New Roman" w:hAnsi="Times New Roman" w:eastAsia="Times New Roman"/>
          <w:b w:val="0"/>
          <w:i w:val="0"/>
          <w:sz w:val="26"/>
        </w:rPr>
        <w:t xml:space="preserve"> Управління C1 «Накази та правила застосування». Механізм — тільки персонал КП, без платформи: рішення на пуск не автоматизується. Два виходи: «Дозвіл на пуск» до A24 і «Відмова в санкціонуванні» </w:t>
      </w:r>
      <w:r>
        <w:rPr>
          <w:rFonts w:ascii="Times New Roman" w:hAnsi="Times New Roman" w:eastAsia="Times New Roman"/>
          <w:b/>
          <w:i w:val="0"/>
          <w:sz w:val="26"/>
        </w:rPr>
        <w:t>назад до A22</w:t>
      </w:r>
      <w:r>
        <w:rPr>
          <w:rFonts w:ascii="Times New Roman" w:hAnsi="Times New Roman" w:eastAsia="Times New Roman"/>
          <w:b w:val="0"/>
          <w:i w:val="0"/>
          <w:sz w:val="26"/>
        </w:rPr>
        <w:t xml:space="preserve"> — зворотний зв’язок за входом, процес повертається до вибору іншого розрахунку.</w:t>
      </w:r>
    </w:p>
    <w:p>
      <w:pPr>
        <w:spacing w:before="0" w:after="80" w:line="269" w:lineRule="auto"/>
        <w:ind w:left="510" w:hanging="510"/>
      </w:pPr>
      <w:r>
        <w:rPr>
          <w:rFonts w:ascii="Times New Roman" w:hAnsi="Times New Roman" w:eastAsia="Times New Roman"/>
          <w:b/>
          <w:i w:val="0"/>
          <w:color w:val="1F3864"/>
          <w:sz w:val="26"/>
        </w:rPr>
        <w:t xml:space="preserve">4. </w:t>
      </w:r>
      <w:r>
        <w:rPr>
          <w:rFonts w:ascii="Times New Roman" w:hAnsi="Times New Roman" w:eastAsia="Times New Roman"/>
          <w:b/>
          <w:i w:val="0"/>
          <w:sz w:val="26"/>
        </w:rPr>
        <w:t>A24 «Передати бойове завдання».</w:t>
      </w:r>
      <w:r>
        <w:rPr>
          <w:rFonts w:ascii="Times New Roman" w:hAnsi="Times New Roman" w:eastAsia="Times New Roman"/>
          <w:b w:val="0"/>
          <w:i w:val="0"/>
          <w:sz w:val="26"/>
        </w:rPr>
        <w:t xml:space="preserve"> Цифрова доставка на планшет розрахунку і контроль підтвердження. Вихід O1 «Бойове завдання» — на А0 він стає управлінням для A3.</w:t>
      </w:r>
    </w:p>
    <w:p>
      <w:pPr>
        <w:spacing w:before="0" w:after="80" w:line="269" w:lineRule="auto"/>
        <w:ind w:left="510" w:hanging="510"/>
      </w:pPr>
      <w:r>
        <w:rPr>
          <w:rFonts w:ascii="Times New Roman" w:hAnsi="Times New Roman" w:eastAsia="Times New Roman"/>
          <w:b/>
          <w:i w:val="0"/>
          <w:color w:val="1F3864"/>
          <w:sz w:val="26"/>
        </w:rPr>
        <w:t xml:space="preserve">5. </w:t>
      </w:r>
      <w:r>
        <w:rPr>
          <w:rFonts w:ascii="Times New Roman" w:hAnsi="Times New Roman" w:eastAsia="Times New Roman"/>
          <w:b/>
          <w:i w:val="0"/>
          <w:sz w:val="26"/>
        </w:rPr>
        <w:t>Розгалуження C1</w:t>
      </w:r>
      <w:r>
        <w:rPr>
          <w:rFonts w:ascii="Times New Roman" w:hAnsi="Times New Roman" w:eastAsia="Times New Roman"/>
          <w:b w:val="0"/>
          <w:i w:val="0"/>
          <w:sz w:val="26"/>
        </w:rPr>
        <w:t xml:space="preserve"> на A23 і A24 та </w:t>
      </w:r>
      <w:r>
        <w:rPr>
          <w:rFonts w:ascii="Times New Roman" w:hAnsi="Times New Roman" w:eastAsia="Times New Roman"/>
          <w:b/>
          <w:i w:val="0"/>
          <w:sz w:val="26"/>
        </w:rPr>
        <w:t>M2</w:t>
      </w:r>
      <w:r>
        <w:rPr>
          <w:rFonts w:ascii="Times New Roman" w:hAnsi="Times New Roman" w:eastAsia="Times New Roman"/>
          <w:b w:val="0"/>
          <w:i w:val="0"/>
          <w:sz w:val="26"/>
        </w:rPr>
        <w:t xml:space="preserve"> на A21, A22, A24 — стрілки зі спільним джерелом об’єднано.</w:t>
      </w:r>
    </w:p>
    <w:p>
      <w:pPr>
        <w:keepNext/>
        <w:spacing w:before="200" w:after="80" w:line="269" w:lineRule="auto"/>
        <w:pBdr>
          <w:bottom w:val="single" w:sz="6" w:space="1" w:color="1F3864"/>
        </w:pBdr>
      </w:pPr>
      <w:r>
        <w:rPr>
          <w:rFonts w:ascii="Times New Roman" w:hAnsi="Times New Roman" w:eastAsia="Times New Roman"/>
          <w:b/>
          <w:i w:val="0"/>
          <w:color w:val="1F3864"/>
          <w:sz w:val="28"/>
        </w:rPr>
        <w:t>3. Підводні камені та типові питання викладача</w:t>
      </w:r>
    </w:p>
    <w:p>
      <w:pPr>
        <w:keepNext/>
        <w:spacing w:before="80" w:after="20" w:line="269" w:lineRule="auto"/>
      </w:pPr>
      <w:r>
        <w:rPr>
          <w:rFonts w:ascii="Times New Roman" w:hAnsi="Times New Roman" w:eastAsia="Times New Roman"/>
          <w:b/>
          <w:i w:val="0"/>
          <w:color w:val="C00000"/>
          <w:sz w:val="26"/>
        </w:rPr>
        <w:t xml:space="preserve">Питання: </w:t>
      </w:r>
      <w:r>
        <w:rPr>
          <w:rFonts w:ascii="Times New Roman" w:hAnsi="Times New Roman" w:eastAsia="Times New Roman"/>
          <w:b/>
          <w:i w:val="0"/>
          <w:sz w:val="26"/>
        </w:rPr>
        <w:t>Чому в A23 немає механізму «IoT-платформа»?</w:t>
      </w:r>
    </w:p>
    <w:p>
      <w:pPr>
        <w:spacing w:before="0" w:after="80" w:line="269" w:lineRule="auto"/>
        <w:ind w:left="340"/>
      </w:pPr>
      <w:r>
        <w:rPr>
          <w:rFonts w:ascii="Times New Roman" w:hAnsi="Times New Roman" w:eastAsia="Times New Roman"/>
          <w:b/>
          <w:i w:val="0"/>
          <w:color w:val="1F6F3C"/>
          <w:sz w:val="26"/>
        </w:rPr>
        <w:t xml:space="preserve">Відповідь: </w:t>
      </w:r>
      <w:r>
        <w:rPr>
          <w:rFonts w:ascii="Times New Roman" w:hAnsi="Times New Roman" w:eastAsia="Times New Roman"/>
          <w:b w:val="0"/>
          <w:i w:val="0"/>
          <w:sz w:val="26"/>
        </w:rPr>
        <w:t>Свідомо: санкціонування — це рішення людини. Платформа лише фіксує його, але функцію «санкціонувати» виконує черговий. Це вимога безпеки з дерева цілей (захід 4.3.2 «Правило двох осіб»).</w:t>
      </w:r>
    </w:p>
    <w:p>
      <w:pPr>
        <w:keepNext/>
        <w:spacing w:before="80" w:after="20" w:line="269" w:lineRule="auto"/>
      </w:pPr>
      <w:r>
        <w:rPr>
          <w:rFonts w:ascii="Times New Roman" w:hAnsi="Times New Roman" w:eastAsia="Times New Roman"/>
          <w:b/>
          <w:i w:val="0"/>
          <w:color w:val="C00000"/>
          <w:sz w:val="26"/>
        </w:rPr>
        <w:t xml:space="preserve">Питання: </w:t>
      </w:r>
      <w:r>
        <w:rPr>
          <w:rFonts w:ascii="Times New Roman" w:hAnsi="Times New Roman" w:eastAsia="Times New Roman"/>
          <w:b/>
          <w:i w:val="0"/>
          <w:sz w:val="26"/>
        </w:rPr>
        <w:t>«Відмова в санкціонуванні» — зворотний зв’язок за входом чи за управлінням?</w:t>
      </w:r>
    </w:p>
    <w:p>
      <w:pPr>
        <w:spacing w:before="0" w:after="80" w:line="269" w:lineRule="auto"/>
        <w:ind w:left="340"/>
      </w:pPr>
      <w:r>
        <w:rPr>
          <w:rFonts w:ascii="Times New Roman" w:hAnsi="Times New Roman" w:eastAsia="Times New Roman"/>
          <w:b/>
          <w:i w:val="0"/>
          <w:color w:val="1F6F3C"/>
          <w:sz w:val="26"/>
        </w:rPr>
        <w:t xml:space="preserve">Відповідь: </w:t>
      </w:r>
      <w:r>
        <w:rPr>
          <w:rFonts w:ascii="Times New Roman" w:hAnsi="Times New Roman" w:eastAsia="Times New Roman"/>
          <w:b w:val="0"/>
          <w:i w:val="0"/>
          <w:sz w:val="26"/>
        </w:rPr>
        <w:t>За входом: відмова повертає ту саму ціль на повторний вибір розрахунку, тобто є даними, які A22 знову обробляє. Вона не змінює правил вибору.</w:t>
      </w:r>
    </w:p>
    <w:p>
      <w:pPr>
        <w:keepNext/>
        <w:spacing w:before="80" w:after="20" w:line="269" w:lineRule="auto"/>
      </w:pPr>
      <w:r>
        <w:rPr>
          <w:rFonts w:ascii="Times New Roman" w:hAnsi="Times New Roman" w:eastAsia="Times New Roman"/>
          <w:b/>
          <w:i w:val="0"/>
          <w:color w:val="C00000"/>
          <w:sz w:val="26"/>
        </w:rPr>
        <w:t xml:space="preserve">Питання: </w:t>
      </w:r>
      <w:r>
        <w:rPr>
          <w:rFonts w:ascii="Times New Roman" w:hAnsi="Times New Roman" w:eastAsia="Times New Roman"/>
          <w:b/>
          <w:i w:val="0"/>
          <w:sz w:val="26"/>
        </w:rPr>
        <w:t>«Дані про готовність» на A0 приходять згори в A2. Чому тут вони управління саме A22?</w:t>
      </w:r>
    </w:p>
    <w:p>
      <w:pPr>
        <w:spacing w:before="0" w:after="80" w:line="269" w:lineRule="auto"/>
        <w:ind w:left="340"/>
      </w:pPr>
      <w:r>
        <w:rPr>
          <w:rFonts w:ascii="Times New Roman" w:hAnsi="Times New Roman" w:eastAsia="Times New Roman"/>
          <w:b/>
          <w:i w:val="0"/>
          <w:color w:val="1F6F3C"/>
          <w:sz w:val="26"/>
        </w:rPr>
        <w:t xml:space="preserve">Відповідь: </w:t>
      </w:r>
      <w:r>
        <w:rPr>
          <w:rFonts w:ascii="Times New Roman" w:hAnsi="Times New Roman" w:eastAsia="Times New Roman"/>
          <w:b w:val="0"/>
          <w:i w:val="0"/>
          <w:sz w:val="26"/>
        </w:rPr>
        <w:t>Бо на рівні декомпозиції я уточнюю, якій саме підфункції вони потрібні: готовність обмежує вибір розрахунку. Код C3 на межі відповідає цій стрілці на батьківській діаграмі.</w:t>
      </w:r>
    </w:p>
    <w:p>
      <w:pPr>
        <w:keepNext/>
        <w:spacing w:before="200" w:after="80" w:line="269" w:lineRule="auto"/>
        <w:pBdr>
          <w:bottom w:val="single" w:sz="6" w:space="1" w:color="1F3864"/>
        </w:pBdr>
      </w:pPr>
      <w:r>
        <w:rPr>
          <w:rFonts w:ascii="Times New Roman" w:hAnsi="Times New Roman" w:eastAsia="Times New Roman"/>
          <w:b/>
          <w:i w:val="0"/>
          <w:color w:val="1F3864"/>
          <w:sz w:val="28"/>
        </w:rPr>
        <w:t>4. Що відповісти, якщо придереться</w:t>
      </w:r>
    </w:p>
    <w:p>
      <w:pPr>
        <w:spacing w:before="0" w:after="60" w:line="269" w:lineRule="auto"/>
        <w:ind w:left="340" w:hanging="283"/>
      </w:pPr>
      <w:r>
        <w:rPr>
          <w:rFonts w:ascii="Times New Roman" w:hAnsi="Times New Roman" w:eastAsia="Times New Roman"/>
          <w:b w:val="0"/>
          <w:i w:val="0"/>
          <w:color w:val="1F3864"/>
          <w:sz w:val="26"/>
        </w:rPr>
        <w:t xml:space="preserve">▸ </w:t>
      </w:r>
      <w:r>
        <w:rPr>
          <w:rFonts w:ascii="Times New Roman" w:hAnsi="Times New Roman" w:eastAsia="Times New Roman"/>
          <w:b w:val="0"/>
          <w:i w:val="0"/>
          <w:sz w:val="26"/>
        </w:rPr>
        <w:t>Можна було б додати окремий блок «Очікувати підтвердження 15 с», але це вже логіка часу і послідовності — її я показав у BPMN (таймер) та IDEF3, а IDEF0 описує функції, не час.</w:t>
      </w:r>
    </w:p>
    <w:p>
      <w:pPr>
        <w:spacing w:before="0" w:after="60" w:line="269" w:lineRule="auto"/>
        <w:ind w:left="340" w:hanging="283"/>
      </w:pPr>
      <w:r>
        <w:rPr>
          <w:rFonts w:ascii="Times New Roman" w:hAnsi="Times New Roman" w:eastAsia="Times New Roman"/>
          <w:b w:val="0"/>
          <w:i w:val="0"/>
          <w:color w:val="1F3864"/>
          <w:sz w:val="26"/>
        </w:rPr>
        <w:t xml:space="preserve">▸ </w:t>
      </w:r>
      <w:r>
        <w:rPr>
          <w:rFonts w:ascii="Times New Roman" w:hAnsi="Times New Roman" w:eastAsia="Times New Roman"/>
          <w:b w:val="0"/>
          <w:i w:val="0"/>
          <w:sz w:val="26"/>
        </w:rPr>
        <w:t>Якщо спитають, де зроблено схему: модель зібрана як дані (lab3/model3.py) і відмальована за правилами AllFusion Process Modeler; файл draw.io згенерований з тієї самої моделі, тому координати й підписи збігаються з рисунком у звіті. Можу відкрити draw.io і пересунути будь-який блок — стрілки приклеєні.</w:t>
      </w:r>
    </w:p>
    <w:sectPr w:rsidR="00FC693F" w:rsidRPr="0006063C" w:rsidSect="00034616">
      <w:pgSz w:w="11906" w:h="16838"/>
      <w:pgMar w:top="1020" w:right="1134" w:bottom="102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 w:eastAsia="Times New Roman"/>
      <w:sz w:val="26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