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ПР 1 · Збір та документування вимог для програмного продукту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Діаграми варіантів використання та специфікації прецедентів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UML Use Case Diagram: актори, прецеденти, include / extend, узагальнення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4.5–4.6; табл. 1.8, 1.9; рис. 1.5, 1.6; табл. 1.10–1.13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tspp_work/pract1/ПР1_Кравченко_ІР-31.docx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4 з 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Показує функції системи з погляду користувачів і зовнішніх систем.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Діаграма варіантів використання показує, що система робить для кожного актора, не розкриваючи, як саме. У нас 23 прецеденти і 14 акторів, тому їх розділено на дві діаграми.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Табл. 1.8 — актори.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Люди (аналітик, оперативний черговий, офіцер бойового управління, командир розрахунку та інші) і системи (сенсорний вузол, НСУ, національна система).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Абстрактний актор «Персонал КП».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Аналітик, ОЧ і ОБУ успадковують від нього прецедент «Переглянути повітряну обстановку» — це відношення узагальнення.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Рис. 1.5 — основний ланцюг.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«Виявлення — класифікація — призначення — санкціонування — прийняття — супровід — доповідь».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Include.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«UC-04 Призначити розрахунок» завжди включає «UC-05 Перевірити деконфлікцію» — без перевірки дружньої авіації призначити не можна.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Рис. 1.6.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Ресурси, звітність, інтеграція, адміністрування; керування ролями й журнал аудиту включають двофакторну автентифікацію.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Табл. 1.10–1.13 — специфікації.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Для UC-03, UC-04, UC-07, UC-08: актори, передумови, основний потік, альтернативні потоки, постумови.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include відрізняється від extend?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Include — обов’язкова частина базового прецедента (деконфлікція завжди при призначенні); extend — необов’язкове розширення, що виконується лише за умови.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сенсор — актор, а не частина системи?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Сенсори — зовнішнє обладнання сторонніх виробників; система їх не розробляє, а лише приймає від них дані. Тому це актор-система.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таке альтернативний потік у специфікації?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Відхилення від основного сценарію: наприклад, у UC-07 точка перехоплення поблизу зони заборони ураження — тоді діє правило двох осіб.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23 прецеденти на одній діаграмі були б нечитабельні, тому дві діаграми — за групами функцій.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Кожен прецедент трасується до функціональних вимог (стовпець «Прецеденти» в табл. 1.5).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