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Специфікація системних вимог (SRS)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SRS за структурою завдання: 10 розділів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5; табл. 1.14–1.25; рис. 1.7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tspp_work/pract1/ПР1_Кравченко_ІР-31.docx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Підсумковий документ вимог, з яким далі працюють архітектор, розробники й тестувальники.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Розділ 5 — повна специфікація системних вимог за структурою з теоретичної частини завдання: 10 розділів від вступу до додатків. Підрозділи 5.1–5.10 звіту відповідають розділам 1–10 цієї структури.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5.1 Вступ.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Мета документа, сфера застосування (що система охоплює і що ні — автопілоти й наведення не охоплює), визначення (табл. 1.14).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5.2 Драйвери бізнесу (табл. 1.15).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Проблеми ручної роботи: голосове цілевказання 30–90 с, дублі треків, немає картини готовності — і можливості системи.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5.3 Бізнес-модель.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Процеси BP-01…BP-12 і FR, що їх підтримують (табл. 1.16); контекстна схема (рис. 1.7) — входи, виходи, зовнішні системи.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5.4 Системні вимоги (табл. 1.17–1.20).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22 FR деталізовано до 30 системних вимог SR-x.y за чотирма підсистемами, кожна з посиланням на FR.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5.6 Технічні вимоги.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Обладнання, ПЗ, мережа й протоколи (MQTT 5, ASTERIX, MAVLink 2, gRPC, WebSocket) — табл. 1.21–1.23.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5.7–5.9.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Системні якості (табл. 1.24), обмеження й припущення, критерії прийняття (табл. 1.25).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системна вимога відрізняється від функціональної?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Функціональна — «що» на верхньому рівні; системна деталізує її до конкретної реакції або даних, наприклад SR-1.4: вузол, що пропустив 3 контрольні сигнали, стає «деградованим».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критерії прийняття?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умови, за яких замовник приймає систему; вони перевіряються приймальним тестуванням (верхній рівень V-моделі).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технічні вимоги в ЛР2 менші, ніж у SRS?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SRS описує цільову промислову конфігурацію з резервуванням у двох ЦОД; у ЛР2 — мінімальні вимоги до реалізованого ядра для одного центру.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Структура SRS — точно та, що в теоретичній частині завдання, тому нічого не пропущено.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Наскрізне трасування: драйвер бізнесу → FR → SR → прецедент → критерій прийняття.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