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Архітектура IoT екосистеми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Чотирирівнева модель IoT-рішення і вибір рівнів реалізації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Модель IoT кафедри: датчики (сприйняття) — мережевий — обробки даних — застосунків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2.1, 3.1–3.2; рис. 2.1; табл. 2.1–2.3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tspp_work/pract2/ПР2_Кравченко_ІР-31.docx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Пояснює, на яку модель спирається архітектура і що саме ми реалізуємо на кожному рівні.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 основу взято чотирирівневу модель IoT-рішення з публікацій кафедри: рівень датчиків (сприйняття), мережевий рівень, рівень обробки даних і рівень застосунків (рис. 2.1, табл. 2.1).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Для кожного рівня в табл. 2.3 вказано, чи ми його реалізуємо, у якій формі і чому.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Вихідні вимоги (табл. 2.2).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Архітектуру визначають нефункціональні вимоги ПР1: ≤ 2 с до екрана (NFR-01), ≤ 1 с до планшета (NFR-02), 20 000 повідомлень/с (NFR-03), доступність 99,95 % (NFR-05).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Рівень датчиків.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Власні пристрої не розробляємо — інтегруємо акустичні вузли, РЛС, ОЕП і НСУ сторонніх виробників через стандартні протоколи.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Мережевий рівень.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Власне ПЗ периферійного шлюзу на кожній позиції, багатоканальний зв’язок (mesh-радіо, LTE, супутник).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Рівень обробки даних.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IoT-ядро у двох ЦОД: шина подій, мікросервіси, PostgreSQL + PostGIS.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Рівень застосунків.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Веб-АРМ, мобільний застосунок планшета, інтеграційні інтерфейси.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Головна відмінність від еталону.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Частину обробки перенесено на периферійні шлюзи — позиція працює автономно щонайменше 4 год без зв’язку з ядром.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саме чотири рівні, а не п’ять чи сім?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модель із публікацій нашої кафедри, яку використовує викладач; вона достатня для IoT-рішення, а безпеку ми розглядаємо як наскрізну властивість усіх рівнів (табл. 2.11).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обчислення на периферії (edge computing)?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Обробка даних поблизу джерела — на шлюзі позиції, а не в центрі: адаптація протоколів, перевірка, локальне злиття треків. Це зменшує затримку і дає автономність.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реалізуєте ви рівень датчиків?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Лише як інтеграцію — адаптери протоколів; самі пристрої постачають виробники, їх вибір зроблено в ПР3.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Кожне відхилення від еталонної моделі обґрунтовано конкретною вимогою ПР1.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Рисунок архітектури виконано в стилі рисунків кафедри — чотири колонки зліва направо.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