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69" w:lineRule="auto"/>
      </w:pPr>
      <w:r>
        <w:rPr>
          <w:rFonts w:ascii="Times New Roman" w:hAnsi="Times New Roman" w:eastAsia="Times New Roman"/>
          <w:b w:val="0"/>
          <w:i/>
          <w:color w:val="595959"/>
          <w:sz w:val="21"/>
        </w:rPr>
        <w:t>СУФЛЕР ДО ЗАХИСТУ · ПР 2 · Архітектура IoT екосистеми</w:t>
      </w:r>
    </w:p>
    <w:p>
      <w:pPr>
        <w:spacing w:before="0" w:after="120" w:line="269" w:lineRule="auto"/>
      </w:pPr>
      <w:r>
        <w:rPr>
          <w:rFonts w:ascii="Times New Roman" w:hAnsi="Times New Roman" w:eastAsia="Times New Roman"/>
          <w:b/>
          <w:i w:val="0"/>
          <w:sz w:val="34"/>
        </w:rPr>
        <w:t>Вибір архітектурного стилю: EDA + мікросервіси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Дисципліна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Технології створення програмних продуктів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Тема відповіді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Архітектурні стилі (лекція 5): монолітна, мікросервісна, SOA, подієво-орієнтована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Що показати у звіті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Розділ 2.2, 3.3; табл. 2.4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Звіт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tspp_work/pract2/ПР2_Кравченко_ІР-31.docx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Порядок показу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2 з 4</w:t>
            </w:r>
          </w:p>
        </w:tc>
      </w:tr>
      <w:tr>
        <w:tc>
          <w:tcPr>
            <w:tcW w:type="dxa" w:w="2381"/>
            <w:shd w:val="clear" w:color="auto" w:fill="E8EEF7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sz w:val="23"/>
              </w:rPr>
              <w:t>Роль у роботі</w:t>
            </w:r>
          </w:p>
        </w:tc>
        <w:tc>
          <w:tcPr>
            <w:tcW w:type="dxa" w:w="7257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sz w:val="23"/>
              </w:rPr>
              <w:t>Обґрунтовує, як влаштоване IoT-ядро.</w:t>
            </w:r>
          </w:p>
        </w:tc>
      </w:tr>
    </w:tbl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1. З чого почати відповідь</w:t>
      </w:r>
    </w:p>
    <w:p>
      <w:pPr>
        <w:spacing w:before="0" w:after="80" w:line="269" w:lineRule="auto"/>
        <w:ind w:left="227"/>
      </w:pPr>
      <w:r>
        <w:rPr>
          <w:rFonts w:ascii="Times New Roman" w:hAnsi="Times New Roman" w:eastAsia="Times New Roman"/>
          <w:b w:val="0"/>
          <w:i w:val="0"/>
          <w:sz w:val="27"/>
        </w:rPr>
        <w:t>Чотири стилі з лекції порівняно за вимогами табл. 2.2 (табл. 2.4). Обрано гібридний стиль: подієво-орієнтована архітектура як основа взаємодії і мікросервіси як спосіб побудови ядра.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2. Покрокова відповідь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1. </w:t>
      </w:r>
      <w:r>
        <w:rPr>
          <w:rFonts w:ascii="Times New Roman" w:hAnsi="Times New Roman" w:eastAsia="Times New Roman"/>
          <w:b/>
          <w:i w:val="0"/>
          <w:sz w:val="26"/>
        </w:rPr>
        <w:t>Монолітна — відхилено.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Простота є, але не можна масштабувати лише сервіси реального часу, а збій одного модуля зупиняє все.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2. </w:t>
      </w:r>
      <w:r>
        <w:rPr>
          <w:rFonts w:ascii="Times New Roman" w:hAnsi="Times New Roman" w:eastAsia="Times New Roman"/>
          <w:b/>
          <w:i w:val="0"/>
          <w:sz w:val="26"/>
        </w:rPr>
        <w:t>SOA — ідеї для інтеграції.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Стандартні інтерфейси з зовнішніми системами корисні, але централізована шина ESB стала б вузьким місцем на 20 000 повідомлень/с.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3. </w:t>
      </w:r>
      <w:r>
        <w:rPr>
          <w:rFonts w:ascii="Times New Roman" w:hAnsi="Times New Roman" w:eastAsia="Times New Roman"/>
          <w:b/>
          <w:i w:val="0"/>
          <w:sz w:val="26"/>
        </w:rPr>
        <w:t>EDA — основа взаємодії.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Пристрої за природою генерують потоки подій: виявлення, оновлення треку, зміна стану місії, телеметрія.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4. </w:t>
      </w:r>
      <w:r>
        <w:rPr>
          <w:rFonts w:ascii="Times New Roman" w:hAnsi="Times New Roman" w:eastAsia="Times New Roman"/>
          <w:b/>
          <w:i w:val="0"/>
          <w:sz w:val="26"/>
        </w:rPr>
        <w:t>Мікросервіси — дев’ять сервісів ядра.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Кожен — видавець і/або підписник подій; злиття треків і телеметрію можна масштабувати незалежно.</w:t>
      </w:r>
    </w:p>
    <w:p>
      <w:pPr>
        <w:spacing w:before="0" w:after="80" w:line="269" w:lineRule="auto"/>
        <w:ind w:left="510" w:hanging="510"/>
      </w:pPr>
      <w:r>
        <w:rPr>
          <w:rFonts w:ascii="Times New Roman" w:hAnsi="Times New Roman" w:eastAsia="Times New Roman"/>
          <w:b/>
          <w:i w:val="0"/>
          <w:color w:val="1F3864"/>
          <w:sz w:val="26"/>
        </w:rPr>
        <w:t xml:space="preserve">5. </w:t>
      </w:r>
      <w:r>
        <w:rPr>
          <w:rFonts w:ascii="Times New Roman" w:hAnsi="Times New Roman" w:eastAsia="Times New Roman"/>
          <w:b/>
          <w:i w:val="0"/>
          <w:sz w:val="26"/>
        </w:rPr>
        <w:t>Шина подій зберігає журнал.</w:t>
      </w:r>
      <w:r>
        <w:rPr>
          <w:rFonts w:ascii="Times New Roman" w:hAnsi="Times New Roman" w:eastAsia="Times New Roman"/>
          <w:b w:val="0"/>
          <w:i w:val="0"/>
          <w:sz w:val="26"/>
        </w:rPr>
        <w:t xml:space="preserve"> Новий сервіс під’єднується без змін у видавцях, а після збою продовжує обробку з місця зупинки.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3. Підводні камені та типові питання викладача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Але в ЛР2 ви реалізували один Flask-застосунок. Хіба це не моноліт?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Так, і це свідомо: ЛР2 — перший інкремент за моделлю ЖЦ з ПР1, ядро даних і АРМ. Межі майбутніх сервісів уже видно: fn_ingest_detection — це сервіс злиття треків, тригери місії — сервіс призначення. У наступних інкрементах їх винесемо в окремі сервіси на шині подій.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Які недоліки EDA?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Складніше відлагодження і контроль порядку подій; тому стан місії має одне головне джерело — сервіс призначення, а події несуть часові мітки.</w:t>
      </w:r>
    </w:p>
    <w:p>
      <w:pPr>
        <w:keepNext/>
        <w:spacing w:before="80" w:after="20" w:line="269" w:lineRule="auto"/>
      </w:pPr>
      <w:r>
        <w:rPr>
          <w:rFonts w:ascii="Times New Roman" w:hAnsi="Times New Roman" w:eastAsia="Times New Roman"/>
          <w:b/>
          <w:i w:val="0"/>
          <w:color w:val="C00000"/>
          <w:sz w:val="26"/>
        </w:rPr>
        <w:t xml:space="preserve">Питання: </w:t>
      </w:r>
      <w:r>
        <w:rPr>
          <w:rFonts w:ascii="Times New Roman" w:hAnsi="Times New Roman" w:eastAsia="Times New Roman"/>
          <w:b/>
          <w:i w:val="0"/>
          <w:sz w:val="26"/>
        </w:rPr>
        <w:t>Чим мікросервіси відрізняються від SOA?</w:t>
      </w:r>
    </w:p>
    <w:p>
      <w:pPr>
        <w:spacing w:before="0" w:after="80" w:line="269" w:lineRule="auto"/>
        <w:ind w:left="340"/>
      </w:pPr>
      <w:r>
        <w:rPr>
          <w:rFonts w:ascii="Times New Roman" w:hAnsi="Times New Roman" w:eastAsia="Times New Roman"/>
          <w:b/>
          <w:i w:val="0"/>
          <w:color w:val="1F6F3C"/>
          <w:sz w:val="26"/>
        </w:rPr>
        <w:t xml:space="preserve">Відповідь: </w:t>
      </w:r>
      <w:r>
        <w:rPr>
          <w:rFonts w:ascii="Times New Roman" w:hAnsi="Times New Roman" w:eastAsia="Times New Roman"/>
          <w:b w:val="0"/>
          <w:i w:val="0"/>
          <w:sz w:val="26"/>
        </w:rPr>
        <w:t>У SOA сервіси взаємодіють через централізовану шину (ESB) з логікою маршрутизації; мікросервіси — дрібніші, незалежно розгортаються і спілкуються через легкі протоколи або брокер подій без логіки.</w:t>
      </w:r>
    </w:p>
    <w:p>
      <w:pPr>
        <w:keepNext/>
        <w:spacing w:before="200" w:after="80" w:line="269" w:lineRule="auto"/>
        <w:pBdr>
          <w:bottom w:val="single" w:sz="6" w:space="1" w:color="1F3864"/>
        </w:pBdr>
      </w:pPr>
      <w:r>
        <w:rPr>
          <w:rFonts w:ascii="Times New Roman" w:hAnsi="Times New Roman" w:eastAsia="Times New Roman"/>
          <w:b/>
          <w:i w:val="0"/>
          <w:color w:val="1F3864"/>
          <w:sz w:val="28"/>
        </w:rPr>
        <w:t>4. Що відповісти, якщо придереться</w:t>
      </w:r>
    </w:p>
    <w:p>
      <w:pPr>
        <w:spacing w:before="0" w:after="60" w:line="269" w:lineRule="auto"/>
        <w:ind w:left="340" w:hanging="283"/>
      </w:pPr>
      <w:r>
        <w:rPr>
          <w:rFonts w:ascii="Times New Roman" w:hAnsi="Times New Roman" w:eastAsia="Times New Roman"/>
          <w:b w:val="0"/>
          <w:i w:val="0"/>
          <w:color w:val="1F3864"/>
          <w:sz w:val="26"/>
        </w:rPr>
        <w:t xml:space="preserve">▸ </w:t>
      </w:r>
      <w:r>
        <w:rPr>
          <w:rFonts w:ascii="Times New Roman" w:hAnsi="Times New Roman" w:eastAsia="Times New Roman"/>
          <w:b w:val="0"/>
          <w:i w:val="0"/>
          <w:sz w:val="26"/>
        </w:rPr>
        <w:t>Рішення в табл. 2.4 прийнято за вимогами, а не за модою: моноліт відхилено через масштабування і відмовостійкість.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