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ПР 2 · Архітектура IoT екосистеми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Рівні архітектури докладно: шлюз, ядро, застосунки, розміщення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Технології створення програмних продуктів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Архітектура IoT-екосистеми, діаграми компонентів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Розділ 4.1–4.6; рис. 2.2–2.4; табл. 2.5–2.9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tspp_work/pract2/ПР2_Кравченко_ІР-31.docx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3 з 4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Демонструє, з чого складається система і де що працює фізично.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Рис. 2.2 — загальна схема: дані рухаються зліва направо — від пристроїв сектора через периферійний шлюз до шини подій ядра і далі до застосунків.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Пристрої (табл. 2.5).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120 акустичних вузлів (MQTT 5), 4 РЛС (ASTERIX), 12 постів ОЕП (RTSP), 18 НСУ (MAVLink 2 з підписом). Кожен пристрій має власний сертифікат.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Шлюз (рис. 2.3).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Адаптери протоколів (шаблон «Адаптер»), перевірка даних, локальний брокер MQTT, локальне злиття треків, буфер до 4 год, міст до ядра з класами пріоритету: завдання &gt; треки &gt; телеметрія &gt; відео.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Ядро (рис. 2.4, табл. 2.7).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Точки входу — шлюз прийому, інтеграційний адаптер, API-шлюз; дев’ять мікросервісів навколо шини подій; кожному відповідають FR з ПР1.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Застосунки (табл. 2.8).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АРМ КП, мобільний застосунок, АРМ служб, інтеграційні інтерфейси; усі запити — лише через API-шлюз, який перевіряє права.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Розміщення (табл. 2.9).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9 + 2 шлюзи на позиціях, основний і резервний кластери ядра у двох ЦОД, АРМ у браузері; сервіси постачаються як контейнери.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Навіщо API-шлюз?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Єдина точка входу для застосунків (шаблон «Фасад»): перевірка прав, маршрутизація, кеш стану обстановки (шаблон «Проксі»).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Що буде, якщо зв’язок позиції з ядром зникне?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Шлюз працює автономно: локально зливає треки і буферизує дані до 4 год, а після відновлення передає їх з первинними мітками часу.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класи пріоритету трафіку саме такі?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Бойове завдання критичніше за все (≤ 1 с), далі треки для обстановки, телеметрія, і лише потім відео, яке найважче і найменш критичне.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Кожен мікросервіс прив’язаний до функціональних вимог ПР1 — це видно в останньому стовпці табл. 2.7.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