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2 · Архітектура IoT екосистеми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Наскрізний потік даних, бюджет затримок, безпека, шаблони та SOLID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Діаграма послідовності; бюджет затримок; принципи SOLID і шаблони (лекція 5)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4.7–4.10; рис. 2.5; табл. 2.10–2.13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tspp_work/pract2/ПР2_Кравченко_ІР-31.docx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Доводить, що архітектура справді виконує нефункціональні вимоги.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Рис. 2.5 показує ключовий сценарій «виявлення — обстановка — завдання розрахунку»; табл. 2.10 розподіляє бюджет NFR-01 (2 с до екрана) між рівнями архітектури.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Бюджет затримок.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Сенсор → шлюз ≤ 300 мс, обробка на шлюзі ≤ 100 мс, шлюз → шина ≤ 400 мс, злиття треків ≤ 500 мс і т. д. — сума вкладається в 2 с з запасом.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Безпека за рівнями (табл. 2.11).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Датчики — сертифікати X.509 і підпис MAVLink; мережа — VPN з mTLS, TLS 1.3; ядро — шифрування AES-256, журнал аудиту; застосунки — 2FA і рольовий доступ.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Надійність.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Два ЦОД з реплікацією (відновлення ≤ 60 с), автономність шлюзів ≥ 4 год.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Шаблони (табл. 2.12).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Адаптер — протоколи; Фасад — API-шлюз; Проксі — кеш і перевірка прав; Спостерігач — підписка на події.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SOLID.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Наприклад, відкритість/закритість: новий сервіс під’єднується до потоку подій без змін у видавцях.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Трасування (табл. 2.13).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Кожна NFR, що визначає архітектуру, має щонайменше одне рішення.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Розшифруйте SOLID.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Single responsibility, Open/closed, Liskov substitution, Interface segregation, Dependency inversion — єдина відповідальність, відкритість/закритість, підстановка Лісков, розділення інтерфейсів, інверсія залежностей.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ви перевірите бюджет затримок?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Навантажувальним тестом з мітками часу на кожному етапі; у ЛР2 вже виміряно етап обробки виявлення в ядрі — близько 8 мс.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в архітектурі шаблон «Спостерігач»?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Сервіси й застосунки підписані на потоки подій шини; у реалізації ЛР2 — тригери БД, що реагують на зміну запису.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Бюджет затримок розписано за етапами, тому видно, що 2 с — досяжна вимога, а не побажання.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