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4 · Проектування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4: Проектування 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tspp_work/pract4/ПР4_Кравченко_ІР-31.docx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9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ПР4 — проектування системи: моделі BPMN, IDEF0 і UML від концептуального до фізичного рівня, плюс реалізація моделей у CASE-засобах.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Склад моделей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4.1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Спершу визначив, які моделі й у якому порядку будую.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BPMN «як буде»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4.1–4.2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Два ключові процеси з доріжками платформи: формування обстановки і призначення розрахунку з санкціонуванням пуску.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IDEF0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4.3–4.4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Контекстна діаграма системи й декомпозиція A0; механізми — шлюзи, ядро й застосунки.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UML: концептуальна модель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4.5–4.7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Прецеденти з ПР1, діаграма станів сутності «Місія» і концептуальні класи.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UML: логічна модель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4.8–4.10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Сценарій «Призначення розрахунку» з трьох поглядів: діяльність, послідовність, кооперація.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UML: фізична модель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4.11–4.13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Класи БД у термінах PostgreSQL, компоненти і розгортання на вузлах.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CASE і генерація SQL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4.2; рис. 4.14–4.15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Показую ланцюжок інструментів і фрагмент SQL-скрипту, згенерованого з фізичної діаграми класів; скрипт перевірено в PostgreSQL.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моделі пов’язані наскрізно — від процесу до таблиці БД, як у прикладі опису діаграм.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