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A119ED9">
      <w:pPr>
        <w:pBdr/>
        <w:spacing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МІНІСТЕРСТВО ОСВІТИ I НАУКИ УКРАЇНИ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324A9C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КИЇВСЬКИЙ НАЦІОНАЛЬНИЙ УНІВЕРСИТЕТ ІМЕНІ ТАРАСА ШЕВЧЕНКА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60A397E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ФАКУЛЬТЕТ ІНФОРМАЦІЙНИХ ТЕХНОЛОГІЙ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2AA494F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КАФЕДРА ІНФОРМАЦІЙНИХ СИСТЕМ ТА ТЕХНОЛОГІЙ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2FFBB8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br/>
        <w:t xml:space="preserve">  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D8A9E5B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Лабораторна робота № </w:t>
      </w:r>
      <w:r>
        <w:rPr>
          <w:rFonts w:ascii="Times New Roman" w:hAnsi="Times New Roman" w:cs="Times New Roman"/>
          <w:b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9E07F4D">
      <w:pPr>
        <w:pBdr/>
        <w:spacing/>
        <w:ind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 дисципліни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«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Технології створення програмних продуктів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»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B905C1F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C1C88FC">
      <w:pPr>
        <w:pBdr/>
        <w:spacing/>
        <w:ind/>
        <w:jc w:val="center"/>
        <w:rPr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Тема: «</w:t>
      </w:r>
      <w:r>
        <w:rPr>
          <w:rFonts w:ascii="Times New Roman" w:hAnsi="Times New Roman" w:eastAsia="Times New Roman" w:cs="Times New Roman"/>
          <w:sz w:val="28"/>
          <w:szCs w:val="28"/>
        </w:rPr>
        <w:t>Опис бази даних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</w:rPr>
        <w:br/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 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F222511">
      <w:pPr>
        <w:pBdr/>
        <w:spacing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18929217">
      <w:pPr>
        <w:pBdr/>
        <w:spacing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1CB31CD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                                                                 Виконав: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 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CB43C91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                                                                              студент гр. ІР-31 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684BA6D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                                                                       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Петро Кравченко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FC4C0C2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                                                                      Перевірив: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 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BA42AA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                                                                               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Зараховано від 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259EC8F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Кравченко Ольга Віталіївна</w:t>
      </w:r>
      <w:r/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778369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___________________________ 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637E8A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(підпис викладача) 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6CAD3CA">
      <w:pPr>
        <w:pBdr/>
        <w:spacing/>
        <w:ind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286A18F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Київ-2026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sectPr>
          <w:footerReference w:type="first" r:id="rId10"/>
          <w:footerReference w:type="default" r:id="rId11"/>
          <w:headerReference w:type="first" r:id="rId12"/>
          <w:headerReference w:type="default" r:id="rId13"/>
          <w:footnotePr/>
          <w:endnotePr/>
          <w:type w:val="nextPage"/>
          <w:pgSz w:h="16838" w:orient="portrait" w:w="11906"/>
          <w:pgMar w:top="1134" w:right="850" w:bottom="1134" w:left="1701" w:header="709" w:footer="709" w:gutter="0"/>
          <w:cols w:num="1" w:sep="0" w:space="708" w:equalWidth="1"/>
          <w:titlePg/>
        </w:sectPr>
      </w:pPr>
    </w:p>
    <w:p>
      <w:pPr>
        <w:keepNext w:val="0"/>
        <w:widowControl/>
        <w:spacing w:line="360" w:lineRule="auto" w:before="0" w:after="24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ЗМІСТ</w:t>
      </w:r>
    </w:p>
    <w:p>
      <w:pPr>
        <w:pStyle w:val="874"/>
        <w:keepNext w:val="0"/>
        <w:widowControl/>
        <w:tabs>
          <w:tab w:pos="9354" w:val="right" w:leader="dot"/>
        </w:tabs>
        <w:spacing w:line="360" w:lineRule="auto" w:before="0" w:after="0"/>
        <w:ind w:firstLine="0" w:left="0"/>
        <w:jc w:val="left"/>
      </w:pP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TOC \o "1-3" \h \z \u </w:instrText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hyperlink w:anchor="_Toc000001" w:history="1">
        <w:r>
          <w:rPr>
            <w:rFonts w:ascii="Times New Roman" w:hAnsi="Times New Roman" w:cs="Times New Roman"/>
            <w:sz w:val="28"/>
            <w:szCs w:val="28"/>
          </w:rPr>
          <w:t xml:space="preserve">1. МЕТА ТА ЗАВДАННЯ РОБОТИ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_Toc000001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3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4"/>
        <w:keepNext w:val="0"/>
        <w:widowControl/>
        <w:tabs>
          <w:tab w:pos="9354" w:val="right" w:leader="dot"/>
        </w:tabs>
        <w:spacing w:line="360" w:lineRule="auto" w:before="0" w:after="0"/>
        <w:ind w:firstLine="0" w:left="0"/>
        <w:jc w:val="left"/>
      </w:pPr>
      <w:hyperlink w:anchor="_Toc000002" w:history="1">
        <w:r>
          <w:rPr>
            <w:rFonts w:ascii="Times New Roman" w:hAnsi="Times New Roman" w:cs="Times New Roman"/>
            <w:sz w:val="28"/>
            <w:szCs w:val="28"/>
          </w:rPr>
          <w:t xml:space="preserve">2. ТЕОРЕТИЧНІ ВІДОМОСТІ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_Toc000002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4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5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03" w:history="1">
        <w:r>
          <w:rPr>
            <w:rFonts w:ascii="Times New Roman" w:hAnsi="Times New Roman" w:cs="Times New Roman"/>
            <w:sz w:val="28"/>
            <w:szCs w:val="28"/>
          </w:rPr>
          <w:t xml:space="preserve">2.1. База даних, СКБД і рівні опису даних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_Toc000003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4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5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04" w:history="1">
        <w:r>
          <w:rPr>
            <w:rFonts w:ascii="Times New Roman" w:hAnsi="Times New Roman" w:cs="Times New Roman"/>
            <w:sz w:val="28"/>
            <w:szCs w:val="28"/>
          </w:rPr>
          <w:t xml:space="preserve">2.2. Модель даних і реляційна модель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_Toc000004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5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5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05" w:history="1">
        <w:r>
          <w:rPr>
            <w:rFonts w:ascii="Times New Roman" w:hAnsi="Times New Roman" w:cs="Times New Roman"/>
            <w:sz w:val="28"/>
            <w:szCs w:val="28"/>
          </w:rPr>
          <w:t xml:space="preserve">2.3. Нормалізація відношень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_Toc000005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6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4"/>
        <w:keepNext w:val="0"/>
        <w:widowControl/>
        <w:tabs>
          <w:tab w:pos="9354" w:val="right" w:leader="dot"/>
        </w:tabs>
        <w:spacing w:line="360" w:lineRule="auto" w:before="0" w:after="0"/>
        <w:ind w:firstLine="0" w:left="0"/>
        <w:jc w:val="left"/>
      </w:pPr>
      <w:hyperlink w:anchor="_Toc000006" w:history="1">
        <w:r>
          <w:rPr>
            <w:rFonts w:ascii="Times New Roman" w:hAnsi="Times New Roman" w:cs="Times New Roman"/>
            <w:sz w:val="28"/>
            <w:szCs w:val="28"/>
          </w:rPr>
          <w:t xml:space="preserve">3. КОНТЕКСТНА МОДЕЛЬ БАЗИ ДАНИХ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_Toc000006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7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5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07" w:history="1">
        <w:r>
          <w:rPr>
            <w:rFonts w:ascii="Times New Roman" w:hAnsi="Times New Roman" w:cs="Times New Roman"/>
            <w:sz w:val="28"/>
            <w:szCs w:val="28"/>
          </w:rPr>
          <w:t xml:space="preserve">3.1. Призначення та межі бази даних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_Toc000007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7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5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08" w:history="1">
        <w:r>
          <w:rPr>
            <w:rFonts w:ascii="Times New Roman" w:hAnsi="Times New Roman" w:cs="Times New Roman"/>
            <w:sz w:val="28"/>
            <w:szCs w:val="28"/>
          </w:rPr>
          <w:t xml:space="preserve">3.2. Контекстна діаграма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_Toc000008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7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5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09" w:history="1">
        <w:r>
          <w:rPr>
            <w:rFonts w:ascii="Times New Roman" w:hAnsi="Times New Roman" w:cs="Times New Roman"/>
            <w:sz w:val="28"/>
            <w:szCs w:val="28"/>
          </w:rPr>
          <w:t xml:space="preserve">3.3. Зовнішні сутності та потоки даних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_Toc000009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9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4"/>
        <w:keepNext w:val="0"/>
        <w:widowControl/>
        <w:tabs>
          <w:tab w:pos="9354" w:val="right" w:leader="dot"/>
        </w:tabs>
        <w:spacing w:line="360" w:lineRule="auto" w:before="0" w:after="0"/>
        <w:ind w:firstLine="0" w:left="0"/>
        <w:jc w:val="left"/>
      </w:pPr>
      <w:hyperlink w:anchor="_Toc000010" w:history="1">
        <w:r>
          <w:rPr>
            <w:rFonts w:ascii="Times New Roman" w:hAnsi="Times New Roman" w:cs="Times New Roman"/>
            <w:sz w:val="28"/>
            <w:szCs w:val="28"/>
          </w:rPr>
          <w:t xml:space="preserve">4. ЛОГІЧНА МОДЕЛЬ БАЗИ ДАНИХ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_Toc000010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11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5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11" w:history="1">
        <w:r>
          <w:rPr>
            <w:rFonts w:ascii="Times New Roman" w:hAnsi="Times New Roman" w:cs="Times New Roman"/>
            <w:sz w:val="28"/>
            <w:szCs w:val="28"/>
          </w:rPr>
          <w:t xml:space="preserve">4.1. Склад сутностей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_Toc000011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11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5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12" w:history="1">
        <w:r>
          <w:rPr>
            <w:rFonts w:ascii="Times New Roman" w:hAnsi="Times New Roman" w:cs="Times New Roman"/>
            <w:sz w:val="28"/>
            <w:szCs w:val="28"/>
          </w:rPr>
          <w:t xml:space="preserve">4.2. ER-діаграми підсистем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_Toc000012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12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5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13" w:history="1">
        <w:r>
          <w:rPr>
            <w:rFonts w:ascii="Times New Roman" w:hAnsi="Times New Roman" w:cs="Times New Roman"/>
            <w:sz w:val="28"/>
            <w:szCs w:val="28"/>
          </w:rPr>
          <w:t xml:space="preserve">4.3. Зв’язки між сутностями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_Toc000013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19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5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14" w:history="1">
        <w:r>
          <w:rPr>
            <w:rFonts w:ascii="Times New Roman" w:hAnsi="Times New Roman" w:cs="Times New Roman"/>
            <w:sz w:val="28"/>
            <w:szCs w:val="28"/>
          </w:rPr>
          <w:t xml:space="preserve">4.4. Нормалізація моделі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_Toc000014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20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4"/>
        <w:keepNext w:val="0"/>
        <w:widowControl/>
        <w:tabs>
          <w:tab w:pos="9354" w:val="right" w:leader="dot"/>
        </w:tabs>
        <w:spacing w:line="360" w:lineRule="auto" w:before="0" w:after="0"/>
        <w:ind w:firstLine="0" w:left="0"/>
        <w:jc w:val="left"/>
      </w:pPr>
      <w:hyperlink w:anchor="_Toc000015" w:history="1">
        <w:r>
          <w:rPr>
            <w:rFonts w:ascii="Times New Roman" w:hAnsi="Times New Roman" w:cs="Times New Roman"/>
            <w:sz w:val="28"/>
            <w:szCs w:val="28"/>
          </w:rPr>
          <w:t xml:space="preserve">5. ФІЗИЧНА МОДЕЛЬ БАЗИ ДАНИХ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_Toc000015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22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5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16" w:history="1">
        <w:r>
          <w:rPr>
            <w:rFonts w:ascii="Times New Roman" w:hAnsi="Times New Roman" w:cs="Times New Roman"/>
            <w:sz w:val="28"/>
            <w:szCs w:val="28"/>
          </w:rPr>
          <w:t xml:space="preserve">5.1. Вибір СКБД і відображення типів даних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_Toc000016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22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5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17" w:history="1">
        <w:r>
          <w:rPr>
            <w:rFonts w:ascii="Times New Roman" w:hAnsi="Times New Roman" w:cs="Times New Roman"/>
            <w:sz w:val="28"/>
            <w:szCs w:val="28"/>
          </w:rPr>
          <w:t xml:space="preserve">5.2. Діаграми фізичної моделі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_Toc000017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23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5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18" w:history="1">
        <w:r>
          <w:rPr>
            <w:rFonts w:ascii="Times New Roman" w:hAnsi="Times New Roman" w:cs="Times New Roman"/>
            <w:sz w:val="28"/>
            <w:szCs w:val="28"/>
          </w:rPr>
          <w:t xml:space="preserve">5.3. Перелічувані типи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_Toc000018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27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5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19" w:history="1">
        <w:r>
          <w:rPr>
            <w:rFonts w:ascii="Times New Roman" w:hAnsi="Times New Roman" w:cs="Times New Roman"/>
            <w:sz w:val="28"/>
            <w:szCs w:val="28"/>
          </w:rPr>
          <w:t xml:space="preserve">5.4. Опис таблиць бази даних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_Toc000019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28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5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20" w:history="1">
        <w:r>
          <w:rPr>
            <w:rFonts w:ascii="Times New Roman" w:hAnsi="Times New Roman" w:cs="Times New Roman"/>
            <w:sz w:val="28"/>
            <w:szCs w:val="28"/>
          </w:rPr>
          <w:t xml:space="preserve">5.5. Індекси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_Toc000020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45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5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21" w:history="1">
        <w:r>
          <w:rPr>
            <w:rFonts w:ascii="Times New Roman" w:hAnsi="Times New Roman" w:cs="Times New Roman"/>
            <w:sz w:val="28"/>
            <w:szCs w:val="28"/>
          </w:rPr>
          <w:t xml:space="preserve">5.6. SQL-скрипт створення бази даних і перевірка моделі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_Toc000021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46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4"/>
        <w:keepNext w:val="0"/>
        <w:widowControl/>
        <w:tabs>
          <w:tab w:pos="9354" w:val="right" w:leader="dot"/>
        </w:tabs>
        <w:spacing w:line="360" w:lineRule="auto" w:before="0" w:after="0"/>
        <w:ind w:firstLine="0" w:left="0"/>
        <w:jc w:val="left"/>
      </w:pPr>
      <w:hyperlink w:anchor="_Toc000022" w:history="1">
        <w:r>
          <w:rPr>
            <w:rFonts w:ascii="Times New Roman" w:hAnsi="Times New Roman" w:cs="Times New Roman"/>
            <w:sz w:val="28"/>
            <w:szCs w:val="28"/>
          </w:rPr>
          <w:t xml:space="preserve">ВИСНОВКИ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_Toc000022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49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4"/>
        <w:keepNext w:val="0"/>
        <w:widowControl/>
        <w:tabs>
          <w:tab w:pos="9354" w:val="right" w:leader="dot"/>
        </w:tabs>
        <w:spacing w:line="360" w:lineRule="auto" w:before="0" w:after="0"/>
        <w:ind w:firstLine="0" w:left="0"/>
        <w:jc w:val="left"/>
      </w:pPr>
      <w:hyperlink w:anchor="_Toc000023" w:history="1">
        <w:r>
          <w:rPr>
            <w:rFonts w:ascii="Times New Roman" w:hAnsi="Times New Roman" w:cs="Times New Roman"/>
            <w:sz w:val="28"/>
            <w:szCs w:val="28"/>
          </w:rPr>
          <w:t xml:space="preserve">СПИСОК ВИКОРИСТАНИХ ДЖЕРЕЛ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_Toc000023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51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  <w:r>
        <w:rPr>
          <w:rFonts w:ascii="Times New Roman" w:hAnsi="Times New Roman" w:cs="Times New Roman"/>
          <w:sz w:val="28"/>
          <w:szCs w:val="28"/>
        </w:rPr>
        <w:fldChar w:fldCharType="end"/>
      </w:r>
    </w:p>
    <w:p>
      <w:pPr>
        <w:pStyle w:val="827"/>
        <w:keepNext/>
        <w:pageBreakBefore/>
        <w:widowControl/>
        <w:spacing w:line="360" w:lineRule="auto" w:before="240" w:after="240"/>
        <w:ind w:firstLine="0" w:left="0"/>
        <w:jc w:val="center"/>
      </w:pPr>
      <w:bookmarkStart w:id="1" w:name="_Toc000001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 МЕТА ТА ЗАВДАННЯ РОБОТИ</w:t>
      </w:r>
      <w:bookmarkEnd w:id="1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Мета роботи: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закріпити знання з організації баз даних на прикладі власного програмного продукту: побудувати та описати контекстну, логічну та фізичну моделі бази даних, описати таблиці з типами даних і сформулювати функціональні вимоги до програмної реалізації бази даних.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Завдання роботи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[1]: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1) створити та описати контекстну модель бази даних — розділ 3;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2) створити та описати логічну модель бази даних — розділ 4;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3) створити та описати фізичну модель бази даних, описати таблиці бази даних з типами даних — розділ 5;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4) сформулювати висновки з функціональними вимогами до програмної реалізації бази даних, яку буде реалізовано й проілюстровано в лабораторній роботі 2, — розділ «Висновки».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Об’єкт моделювання — база даних IoT-платформи «Щит-Лінк» на тему «Розподілена IoT-система цілевказівки та координації дронів для перехоплення повітряних цілей». Вимоги до продукту та попередній перелік таблиць визначено в практичній роботі № 1 [2], діаграму класів фізичного рівня для фрагмента схеми — у практичній роботі № 4 [3]. У цій роботі модель даних розширено до повного складу: 18 таблиць, 139 атрибутів, 26 зв’язків. Звіт оформлено відповідно до ДСТУ 3008:2015 [4].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Примітка: РЦПДО «Щит-Північ» і IoT-платформа «Щит-Лінк» є навчальними умовними моделями; усі назви, дані та показники наведено суто з навчально-ілюстративною метою.</w:t>
      </w:r>
    </w:p>
    <w:p>
      <w:pPr>
        <w:pStyle w:val="827"/>
        <w:keepNext/>
        <w:pageBreakBefore/>
        <w:widowControl/>
        <w:spacing w:line="360" w:lineRule="auto" w:before="240" w:after="240"/>
        <w:ind w:firstLine="0" w:left="0"/>
        <w:jc w:val="center"/>
      </w:pPr>
      <w:bookmarkStart w:id="2" w:name="_Toc000002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 ТЕОРЕТИЧНІ ВІДОМОСТІ</w:t>
      </w:r>
      <w:bookmarkEnd w:id="2"/>
    </w:p>
    <w:p>
      <w:pPr>
        <w:pStyle w:val="828"/>
        <w:keepNext/>
        <w:pageBreakBefore w:val="0"/>
        <w:widowControl/>
        <w:spacing w:line="360" w:lineRule="auto" w:before="120" w:after="120"/>
        <w:ind w:firstLine="709" w:left="0"/>
        <w:jc w:val="left"/>
      </w:pPr>
      <w:bookmarkStart w:id="3" w:name="_Toc000003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2.1. База даних, СКБД і рівні опису даних</w:t>
      </w:r>
      <w:bookmarkEnd w:id="3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даних (БД) — сукупність взаємопов’язаних даних, організованих за певними правилами, що описують структуру, впорядкованість і зв’язки даних. Система керування базою даних (СКБД) надає мову визначення даних, якою описують структуру БД, і мову маніпулювання даними, якою дані додають, змінюють, видаляють і вибирають [5]. Для реляційних СКБД обидві мови об’єднано в SQL: оператори CREATE, ALTER, DROP належать до мови визначення даних, оператори INSERT, UPDATE, DELETE, SELECT — до мови маніпулювання даними.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Трирівнева архітектура СКБД розрізняє три рівні опису даних [5]: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зовнішній рівень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(зовнішні схеми) — подання даних з точки зору окремих користувачів і застосунків, кожен з яких бачить лише потрібну йому частину БД;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концептуальний рівень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(концептуальна схема) — єдина модель предметної області, що об’єднує всі зовнішні подання і не залежить від способу зберігання;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внутрішній рівень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(внутрішня схема) — фізичне розміщення даних у файлах операційної системи: типи, індекси, способи доступу.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СКБД підтримує відображення «концептуальний — зовнішній» і «концептуальний — внутрішній», завдяки чому зміна зберігання не потребує зміни застосунків (фізична незалежність даних), а зміна концептуальної схеми — лише зміни відображень (логічна незалежність). Моделі, які вимагає завдання, відповідають цим рівням (табл. 1.1).</w:t>
      </w:r>
    </w:p>
    <w:p>
      <w:pPr>
        <w:keepNext/>
        <w:pageBreakBefore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1.1 — Відповідність моделей бази даних рівням архітектури СКБД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rPr>
          <w:tblHeader w:val="true"/>
          <w:cantSplit w:val="true"/>
        </w:trPr>
        <w:tc>
          <w:tcPr>
            <w:tcW w:type="dxa" w:w="175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Рівень архітектури</w:t>
            </w:r>
          </w:p>
        </w:tc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Що описує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Засіб опису</w:t>
            </w:r>
          </w:p>
        </w:tc>
      </w:tr>
      <w:tr>
        <w:trPr>
          <w:cantSplit w:val="true"/>
        </w:trPr>
        <w:tc>
          <w:tcPr>
            <w:tcW w:type="dxa" w:w="175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Контекстна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Зовнішній</w:t>
            </w:r>
          </w:p>
        </w:tc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Межі БД, зовнішні джерела та споживачі даних, групи даних, якими вони обмінюються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Контекстна діаграма, таблиця потоків</w:t>
            </w:r>
          </w:p>
        </w:tc>
      </w:tr>
      <w:tr>
        <w:trPr>
          <w:cantSplit w:val="true"/>
        </w:trPr>
        <w:tc>
          <w:tcPr>
            <w:tcW w:type="dxa" w:w="175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Логічна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Концептуальний</w:t>
            </w:r>
          </w:p>
        </w:tc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Сутності, атрибути, ключі, зв’язки та їх кратність; нормалізація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ER-діаграма (нотація IE), таблиця зв’язків</w:t>
            </w:r>
          </w:p>
        </w:tc>
      </w:tr>
      <w:tr>
        <w:trPr>
          <w:cantSplit w:val="true"/>
        </w:trPr>
        <w:tc>
          <w:tcPr>
            <w:tcW w:type="dxa" w:w="1754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Фізична</w:t>
            </w:r>
          </w:p>
        </w:tc>
        <w:tc>
          <w:tcPr>
            <w:tcW w:type="dxa" w:w="198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Внутрішній</w:t>
            </w:r>
          </w:p>
        </w:tc>
        <w:tc>
          <w:tcPr>
            <w:tcW w:type="dxa" w:w="3274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Таблиці, типи даних конкретної СКБД, обмеження цілісності, індекси</w:t>
            </w:r>
          </w:p>
        </w:tc>
        <w:tc>
          <w:tcPr>
            <w:tcW w:type="dxa" w:w="2339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Діаграма таблиць, опис полів, SQL-скрипт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pStyle w:val="828"/>
        <w:keepNext/>
        <w:pageBreakBefore w:val="0"/>
        <w:widowControl/>
        <w:spacing w:line="360" w:lineRule="auto" w:before="120" w:after="120"/>
        <w:ind w:firstLine="709" w:left="0"/>
        <w:jc w:val="left"/>
      </w:pPr>
      <w:bookmarkStart w:id="4" w:name="_Toc000004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2.2. Модель даних і реляційна модель</w:t>
      </w:r>
      <w:bookmarkEnd w:id="4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даних — логічна структура даних, що представляє притаманні цим даним властивості, незалежні від апаратного й програмного забезпечення і не пов’язані з функціонуванням комп’ютера. Інформаційна модель даних визначається точкою зору користувача в його термінах; засобами опису є сутності, атрибути та зв’язки, а результатом — вихідні дані для визначення зовнішньої схеми БД. Структуру даних утворюють об’єкт, властивість об’єкта та значення властивості [5].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Розрізняють ієрархічну, мережеву та реляційну моделі даних. В ієрархічній моделі взаємозв’язки жорстко зафіксовані, і зміна зв’язку призводить до реорганізації структури; мережева модель допускає різноманітніші зв’язки, але ускладнює внесення змін. У реляційній моделі таблиці незалежні, зв’язки повністю змінні, а модель просто розширюється [5]. Тому для системи «Щит-Лінк», модель якої розвиватиметься разом із вимогами, обрано реляційну модель.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подання логічної моделі використовують діаграми «сутність — зв’язок» (Entity-Relationship Diagrams, ERD) — одну з базових моделей структурного аналізу й проектування ІС [6]. У роботі застосовано нотацію інформаційної інженерії (IE, «пташина лапка») [7]: риска позначає «рівно один», коло — необов’язковість (нуль), розгалуження — «багато». Такий самий порядок «концептуальна модель → логічна і фізична модель → таблиця полів з типами даних» використано в кваліфікаційних роботах кафедри [8].</w:t>
      </w:r>
    </w:p>
    <w:p>
      <w:pPr>
        <w:pStyle w:val="828"/>
        <w:keepNext/>
        <w:pageBreakBefore w:val="0"/>
        <w:widowControl/>
        <w:spacing w:line="360" w:lineRule="auto" w:before="120" w:after="120"/>
        <w:ind w:firstLine="709" w:left="0"/>
        <w:jc w:val="left"/>
      </w:pPr>
      <w:bookmarkStart w:id="5" w:name="_Toc000005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2.3. Нормалізація відношень</w:t>
      </w:r>
      <w:bookmarkEnd w:id="5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Нормалізація — послідовне перетворення відношень, що усуває надлишковість даних і аномалії вставлення, оновлення та видалення. Для проектування БД програмних продуктів курсу вимагається нормалізація до третьої нормальної форми [9]: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перша нормальна форма (1НФ)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— кожен атрибут містить одне неподільне значення, у відношенні немає груп, що повторюються, кожен рядок ідентифікується первинним ключем;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друга нормальна форма (2НФ)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— відношення в 1НФ, у якому кожен неключовий атрибут залежить від усього первинного ключа, а не від його частини (актуально для складених ключів);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третя нормальна форма (3НФ)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— відношення в 2НФ, у якому неключові атрибути не залежать один від одного (немає транзитивних залежностей через неключовий атрибут).</w:t>
      </w:r>
    </w:p>
    <w:p>
      <w:pPr>
        <w:pStyle w:val="827"/>
        <w:keepNext/>
        <w:pageBreakBefore/>
        <w:widowControl/>
        <w:spacing w:line="360" w:lineRule="auto" w:before="240" w:after="240"/>
        <w:ind w:firstLine="0" w:left="0"/>
        <w:jc w:val="center"/>
      </w:pPr>
      <w:bookmarkStart w:id="6" w:name="_Toc000006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 КОНТЕКСТНА МОДЕЛЬ БАЗИ ДАНИХ</w:t>
      </w:r>
      <w:bookmarkEnd w:id="6"/>
    </w:p>
    <w:p>
      <w:pPr>
        <w:pStyle w:val="828"/>
        <w:keepNext/>
        <w:pageBreakBefore w:val="0"/>
        <w:widowControl/>
        <w:spacing w:line="360" w:lineRule="auto" w:before="120" w:after="120"/>
        <w:ind w:firstLine="709" w:left="0"/>
        <w:jc w:val="left"/>
      </w:pPr>
      <w:bookmarkStart w:id="7" w:name="_Toc000007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Призначення та межі бази даних</w:t>
      </w:r>
      <w:bookmarkEnd w:id="7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даних IoT-платформи «Щит-Лінк» є єдиним сховищем оперативних і облікових даних регіонального центру протидронової оборони. Вона зберігає: структуру зон відповідальності й об’єктів прикриття; склад і стан сенсорної мережі; первинні виявлення та сформовані з них повітряні треки; вогневі ресурси — позиції, розрахунки, перехоплювачі; бойові завдання (місії) з хронологією подій, телеметрією та звітами; користувачів, ролі та права; незмінний журнал аудиту.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 меж БД не входять: відеозаписи та сирі сигнали сенсорів (зберігаються в об’єктному сховищі, у БД — лише посилання в полі evidence), картографічні підкладки та алгоритми злиття й оцінки загрози (реалізуються сервісами IoT-ядра, БД зберігає лише їх результати). Таке розмежування утримує обсяг БД у межах, придатних для резервного копіювання, а структуру — стабільною.</w:t>
      </w:r>
    </w:p>
    <w:p>
      <w:pPr>
        <w:pStyle w:val="828"/>
        <w:keepNext/>
        <w:pageBreakBefore w:val="0"/>
        <w:widowControl/>
        <w:spacing w:line="360" w:lineRule="auto" w:before="120" w:after="120"/>
        <w:ind w:firstLine="709" w:left="0"/>
        <w:jc w:val="left"/>
      </w:pPr>
      <w:bookmarkStart w:id="8" w:name="_Toc000008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Контекстна діаграма</w:t>
      </w:r>
      <w:bookmarkEnd w:id="8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Контекстну модель (рис. 1.1) побудовано в стилі контекстної діаграми потоків даних: у центрі — база даних як єдине ціле, навколо — зовнішні сутності, що є джерелами або споживачами даних. Технічні джерела (сенсорні вузли, наземні станції, національна система) показано білими прямокутниками, групи користувачів — сірими; підписи стрілок називають групи даних, а напрям стрілки — напрям потоку.</w:t>
      </w:r>
    </w:p>
    <w:p>
      <w:pPr>
        <w:sectPr>
          <w:footerReference w:type="default" r:id="rId8"/>
          <w:headerReference w:type="default" r:id="rId9"/>
          <w:footnotePr/>
          <w:endnotePr/>
          <w:pgSz w:h="16838" w:w="11906"/>
          <w:pgMar w:top="1134" w:right="850" w:bottom="1134" w:left="1701" w:header="709" w:footer="709" w:gutter="0"/>
          <w:cols w:num="1" w:sep="0" w:space="708" w:equalWidth="1"/>
        </w:sectPr>
      </w:pP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9252000" cy="4205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ontex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252000" cy="420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1.1 — Контекстна модель бази даних IoT-платформи «Щит-Лінк»</w:t>
      </w:r>
    </w:p>
    <w:p>
      <w:pPr>
        <w:sectPr>
          <w:footnotePr/>
          <w:endnotePr/>
          <w:pgSz w:h="11906" w:w="16838" w:orient="landscape"/>
          <w:pgMar w:top="1701" w:right="1134" w:bottom="850" w:left="1134" w:header="709" w:footer="709" w:gutter="0"/>
          <w:cols w:num="1" w:sep="0" w:space="708" w:equalWidth="1"/>
        </w:sectPr>
      </w:pP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Сенсорні вузли через периферійні шлюзи лише записують дані (виявлення, контрольні сигнали стану) — це найінтенсивніший потік, близько 50 тисяч записів на добу. Наземні станції розрахунків записують телеметрію перехоплювачів і підтвердження завдань та отримують бойові завдання. Аналітик обстановки, офіцер бойового управління, розрахунки, технік і логіст, адміністратор та офіцер кібербезпеки працюють з даними в обох напрямах через свої автоматизовані робочі місця, кожен — зі своєю частиною БД, що відповідає зовнішній схемі в термінах трирівневої архітектури. Національна система ситуаційної обізнаності лише отримує донесення про треки та результати перехоплень.</w:t>
      </w:r>
    </w:p>
    <w:p>
      <w:pPr>
        <w:pStyle w:val="828"/>
        <w:keepNext/>
        <w:pageBreakBefore w:val="0"/>
        <w:widowControl/>
        <w:spacing w:line="360" w:lineRule="auto" w:before="120" w:after="120"/>
        <w:ind w:firstLine="709" w:left="0"/>
        <w:jc w:val="left"/>
      </w:pPr>
      <w:bookmarkStart w:id="9" w:name="_Toc000009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Зовнішні сутності та потоки даних</w:t>
      </w:r>
      <w:bookmarkEnd w:id="9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Детальний перелік зовнішніх сутностей, потоків даних і таблиць, з якими вони пов’язані, наведено в табл. 1.2. Таблиця є вихідними даними для визначення зовнішніх схем (представлень і прав доступу) на фізичному рівні.</w:t>
      </w:r>
    </w:p>
    <w:p>
      <w:pPr>
        <w:keepNext/>
        <w:pageBreakBefore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1.2 — Зовнішні сутності контекстної моделі та потоки даних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rPr>
          <w:tblHeader w:val="true"/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Зовнішня сутність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Дані, що надходять до БД</w:t>
            </w:r>
          </w:p>
        </w:tc>
        <w:tc>
          <w:tcPr>
            <w:tcW w:type="dxa" w:w="222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Дані, що отримує з БД</w:t>
            </w:r>
          </w:p>
        </w:tc>
        <w:tc>
          <w:tcPr>
            <w:tcW w:type="dxa" w:w="268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Таблиці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Сенсорні вузли (через периферійні шлюзи)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виявлення, контрольні сигнали стану</w:t>
            </w:r>
          </w:p>
        </w:tc>
        <w:tc>
          <w:tcPr>
            <w:tcW w:type="dxa" w:w="222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68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detection, sensor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Наземні станції розрахунків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телеметрія перехоплювачів, підтвердження завдань</w:t>
            </w:r>
          </w:p>
        </w:tc>
        <w:tc>
          <w:tcPr>
            <w:tcW w:type="dxa" w:w="222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параметри цілі, бойові завдання</w:t>
            </w:r>
          </w:p>
        </w:tc>
        <w:tc>
          <w:tcPr>
            <w:tcW w:type="dxa" w:w="268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telemetry_frame, mission, mission_event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Аналітик обстановки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класифікація треків</w:t>
            </w:r>
          </w:p>
        </w:tc>
        <w:tc>
          <w:tcPr>
            <w:tcW w:type="dxa" w:w="222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повітряна обстановка, черга загроз</w:t>
            </w:r>
          </w:p>
        </w:tc>
        <w:tc>
          <w:tcPr>
            <w:tcW w:type="dxa" w:w="268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air_track, detection, protected_object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Офіцер бойового управління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призначення, санкції, сектори</w:t>
            </w:r>
          </w:p>
        </w:tc>
        <w:tc>
          <w:tcPr>
            <w:tcW w:type="dxa" w:w="222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черга загроз, стан ресурсів, хід місій</w:t>
            </w:r>
          </w:p>
        </w:tc>
        <w:tc>
          <w:tcPr>
            <w:tcW w:type="dxa" w:w="268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mission, sector, position, crew, interceptor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Розрахунки перехоплювачів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готовність, звіти про перехоплення</w:t>
            </w:r>
          </w:p>
        </w:tc>
        <w:tc>
          <w:tcPr>
            <w:tcW w:type="dxa" w:w="222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бойові завдання</w:t>
            </w:r>
          </w:p>
        </w:tc>
        <w:tc>
          <w:tcPr>
            <w:tcW w:type="dxa" w:w="268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crew, engagement_report, mission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Технік і логіст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облік перехоплювачів, стан сенсорів</w:t>
            </w:r>
          </w:p>
        </w:tc>
        <w:tc>
          <w:tcPr>
            <w:tcW w:type="dxa" w:w="222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залишки, стан обладнання</w:t>
            </w:r>
          </w:p>
        </w:tc>
        <w:tc>
          <w:tcPr>
            <w:tcW w:type="dxa" w:w="268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interceptor, interceptor_model, sensor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Адміністратор і офіцер кібербезпеки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користувачі, ролі, права</w:t>
            </w:r>
          </w:p>
        </w:tc>
        <w:tc>
          <w:tcPr>
            <w:tcW w:type="dxa" w:w="222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аудиту</w:t>
            </w:r>
          </w:p>
        </w:tc>
        <w:tc>
          <w:tcPr>
            <w:tcW w:type="dxa" w:w="268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personnel, role, permission, role_permission, audit_log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Національна система ситуаційної обізнаності</w:t>
            </w:r>
          </w:p>
        </w:tc>
        <w:tc>
          <w:tcPr>
            <w:tcW w:type="dxa" w:w="2339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222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донесення про треки та результати</w:t>
            </w:r>
          </w:p>
        </w:tc>
        <w:tc>
          <w:tcPr>
            <w:tcW w:type="dxa" w:w="2689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air_track, engagement_report</w:t>
            </w:r>
          </w:p>
        </w:tc>
      </w:tr>
    </w:tbl>
    <w:p>
      <w:pPr>
        <w:pStyle w:val="827"/>
        <w:keepNext/>
        <w:pageBreakBefore/>
        <w:widowControl/>
        <w:spacing w:line="360" w:lineRule="auto" w:before="240" w:after="240"/>
        <w:ind w:firstLine="0" w:left="0"/>
        <w:jc w:val="center"/>
      </w:pPr>
      <w:bookmarkStart w:id="10" w:name="_Toc000010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 ЛОГІЧНА МОДЕЛЬ БАЗИ ДАНИХ</w:t>
      </w:r>
      <w:bookmarkEnd w:id="10"/>
    </w:p>
    <w:p>
      <w:pPr>
        <w:pStyle w:val="828"/>
        <w:keepNext/>
        <w:pageBreakBefore w:val="0"/>
        <w:widowControl/>
        <w:spacing w:line="360" w:lineRule="auto" w:before="120" w:after="120"/>
        <w:ind w:firstLine="709" w:left="0"/>
        <w:jc w:val="left"/>
      </w:pPr>
      <w:bookmarkStart w:id="11" w:name="_Toc000011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Склад сутностей</w:t>
      </w:r>
      <w:bookmarkEnd w:id="11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Логічна модель містить 18 сутностей. Їх розподілено за двома ознаками. За характером даних виділено три рівні, як у кваліфікаційних роботах кафедри [8]: довідникові (5) — відносно постійні класифікатори, що рідко змінюються; основні (6) — головні об’єкти предметної області; операційні (7) — дані, що постійно додаються під час роботи системи. За предметною ознакою сутності згруповано в 4 підсистеми, кожну з яких показано на окремій ER-діаграмі. Склад сутностей наведено в табл. 1.3; у стовпці «Група» вказано номер підсистеми.</w:t>
      </w:r>
    </w:p>
    <w:p>
      <w:pPr>
        <w:keepNext/>
        <w:pageBreakBefore w:val="0"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1.3 — Сутності логічної моделі бази даних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tblHeader w:val="true"/>
          <w:cantSplit w:val="true"/>
        </w:trPr>
        <w:tc>
          <w:tcPr>
            <w:tcW w:type="dxa" w:w="46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192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Сутність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Таблиця</w:t>
            </w:r>
          </w:p>
        </w:tc>
        <w:tc>
          <w:tcPr>
            <w:tcW w:type="dxa" w:w="157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Рівень</w:t>
            </w:r>
          </w:p>
        </w:tc>
        <w:tc>
          <w:tcPr>
            <w:tcW w:type="dxa" w:w="93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Група</w:t>
            </w:r>
          </w:p>
        </w:tc>
        <w:tc>
          <w:tcPr>
            <w:tcW w:type="dxa" w:w="245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Призначення</w:t>
            </w:r>
          </w:p>
        </w:tc>
      </w:tr>
      <w:tr>
        <w:trPr>
          <w:cantSplit w:val="true"/>
        </w:trPr>
        <w:tc>
          <w:tcPr>
            <w:tcW w:type="dxa" w:w="46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Повітряний трек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air_track</w:t>
            </w:r>
          </w:p>
        </w:tc>
        <w:tc>
          <w:tcPr>
            <w:tcW w:type="dxa" w:w="157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операційна</w:t>
            </w:r>
          </w:p>
        </w:tc>
        <w:tc>
          <w:tcPr>
            <w:tcW w:type="dxa" w:w="93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45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Повітряні цілі: стан, належність, оцінка загрози</w:t>
            </w:r>
          </w:p>
        </w:tc>
      </w:tr>
      <w:tr>
        <w:trPr>
          <w:cantSplit w:val="true"/>
        </w:trPr>
        <w:tc>
          <w:tcPr>
            <w:tcW w:type="dxa" w:w="46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92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Виявлення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detection</w:t>
            </w:r>
          </w:p>
        </w:tc>
        <w:tc>
          <w:tcPr>
            <w:tcW w:type="dxa" w:w="157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операційна</w:t>
            </w:r>
          </w:p>
        </w:tc>
        <w:tc>
          <w:tcPr>
            <w:tcW w:type="dxa" w:w="93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45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Первинні виявлення, отримані від сенсорів</w:t>
            </w:r>
          </w:p>
        </w:tc>
      </w:tr>
      <w:tr>
        <w:trPr>
          <w:cantSplit w:val="true"/>
        </w:trPr>
        <w:tc>
          <w:tcPr>
            <w:tcW w:type="dxa" w:w="46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92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Об’єкт прикриття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protected_object</w:t>
            </w:r>
          </w:p>
        </w:tc>
        <w:tc>
          <w:tcPr>
            <w:tcW w:type="dxa" w:w="157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основна</w:t>
            </w:r>
          </w:p>
        </w:tc>
        <w:tc>
          <w:tcPr>
            <w:tcW w:type="dxa" w:w="93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45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Критична інфраструктура, яку прикриває центр</w:t>
            </w:r>
          </w:p>
        </w:tc>
      </w:tr>
      <w:tr>
        <w:trPr>
          <w:cantSplit w:val="true"/>
        </w:trPr>
        <w:tc>
          <w:tcPr>
            <w:tcW w:type="dxa" w:w="46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92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Сектор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sector</w:t>
            </w:r>
          </w:p>
        </w:tc>
        <w:tc>
          <w:tcPr>
            <w:tcW w:type="dxa" w:w="157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довідникова</w:t>
            </w:r>
          </w:p>
        </w:tc>
        <w:tc>
          <w:tcPr>
            <w:tcW w:type="dxa" w:w="93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45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Зони відповідальності, заборони ураження, коридори дружньої авіації</w:t>
            </w:r>
          </w:p>
        </w:tc>
      </w:tr>
      <w:tr>
        <w:trPr>
          <w:cantSplit w:val="true"/>
        </w:trPr>
        <w:tc>
          <w:tcPr>
            <w:tcW w:type="dxa" w:w="46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92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Сенсор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sensor</w:t>
            </w:r>
          </w:p>
        </w:tc>
        <w:tc>
          <w:tcPr>
            <w:tcW w:type="dxa" w:w="157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основна</w:t>
            </w:r>
          </w:p>
        </w:tc>
        <w:tc>
          <w:tcPr>
            <w:tcW w:type="dxa" w:w="93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45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Сенсорні вузли мережі виявлення та їх технічний стан</w:t>
            </w:r>
          </w:p>
        </w:tc>
      </w:tr>
      <w:tr>
        <w:trPr>
          <w:cantSplit w:val="true"/>
        </w:trPr>
        <w:tc>
          <w:tcPr>
            <w:tcW w:type="dxa" w:w="46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92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Розрахунок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crew</w:t>
            </w:r>
          </w:p>
        </w:tc>
        <w:tc>
          <w:tcPr>
            <w:tcW w:type="dxa" w:w="157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основна</w:t>
            </w:r>
          </w:p>
        </w:tc>
        <w:tc>
          <w:tcPr>
            <w:tcW w:type="dxa" w:w="93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45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Розрахунки перехоплювачів і їх готовність</w:t>
            </w:r>
          </w:p>
        </w:tc>
      </w:tr>
      <w:tr>
        <w:trPr>
          <w:cantSplit w:val="true"/>
        </w:trPr>
        <w:tc>
          <w:tcPr>
            <w:tcW w:type="dxa" w:w="46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92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Перехоплювач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interceptor</w:t>
            </w:r>
          </w:p>
        </w:tc>
        <w:tc>
          <w:tcPr>
            <w:tcW w:type="dxa" w:w="157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основна</w:t>
            </w:r>
          </w:p>
        </w:tc>
        <w:tc>
          <w:tcPr>
            <w:tcW w:type="dxa" w:w="93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45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Екземпляри дронів-перехоплювачів та їх стан</w:t>
            </w:r>
          </w:p>
        </w:tc>
      </w:tr>
      <w:tr>
        <w:trPr>
          <w:cantSplit w:val="true"/>
        </w:trPr>
        <w:tc>
          <w:tcPr>
            <w:tcW w:type="dxa" w:w="46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92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Модель перехоплювача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interceptor_model</w:t>
            </w:r>
          </w:p>
        </w:tc>
        <w:tc>
          <w:tcPr>
            <w:tcW w:type="dxa" w:w="157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довідникова</w:t>
            </w:r>
          </w:p>
        </w:tc>
        <w:tc>
          <w:tcPr>
            <w:tcW w:type="dxa" w:w="93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45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Тактико-технічні межі моделей дронів-перехоплювачів для перевірки здійсненності місії</w:t>
            </w:r>
          </w:p>
        </w:tc>
      </w:tr>
      <w:tr>
        <w:trPr>
          <w:cantSplit w:val="true"/>
        </w:trPr>
        <w:tc>
          <w:tcPr>
            <w:tcW w:type="dxa" w:w="46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929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Вогнева позиція</w:t>
            </w:r>
          </w:p>
        </w:tc>
        <w:tc>
          <w:tcPr>
            <w:tcW w:type="dxa" w:w="198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position</w:t>
            </w:r>
          </w:p>
        </w:tc>
        <w:tc>
          <w:tcPr>
            <w:tcW w:type="dxa" w:w="1579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основна</w:t>
            </w:r>
          </w:p>
        </w:tc>
        <w:tc>
          <w:tcPr>
            <w:tcW w:type="dxa" w:w="935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456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Позиції розрахунків перехоплювачів</w:t>
            </w:r>
          </w:p>
        </w:tc>
      </w:tr>
    </w:tbl>
    <w:p>
      <w:pPr>
        <w:keepNext/>
        <w:pageBreakBefore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Продовження таблиці 1.3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tblHeader w:val="true"/>
          <w:cantSplit w:val="true"/>
        </w:trPr>
        <w:tc>
          <w:tcPr>
            <w:tcW w:type="dxa" w:w="46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192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Сутність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Таблиця</w:t>
            </w:r>
          </w:p>
        </w:tc>
        <w:tc>
          <w:tcPr>
            <w:tcW w:type="dxa" w:w="157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Рівень</w:t>
            </w:r>
          </w:p>
        </w:tc>
        <w:tc>
          <w:tcPr>
            <w:tcW w:type="dxa" w:w="93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Група</w:t>
            </w:r>
          </w:p>
        </w:tc>
        <w:tc>
          <w:tcPr>
            <w:tcW w:type="dxa" w:w="245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Призначення</w:t>
            </w:r>
          </w:p>
        </w:tc>
      </w:tr>
      <w:tr>
        <w:trPr>
          <w:cantSplit w:val="true"/>
        </w:trPr>
        <w:tc>
          <w:tcPr>
            <w:tcW w:type="dxa" w:w="46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92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Звіт про перехоплення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engagement_report</w:t>
            </w:r>
          </w:p>
        </w:tc>
        <w:tc>
          <w:tcPr>
            <w:tcW w:type="dxa" w:w="157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операційна</w:t>
            </w:r>
          </w:p>
        </w:tc>
        <w:tc>
          <w:tcPr>
            <w:tcW w:type="dxa" w:w="93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45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Оцінка результату завершеної місії</w:t>
            </w:r>
          </w:p>
        </w:tc>
      </w:tr>
      <w:tr>
        <w:trPr>
          <w:cantSplit w:val="true"/>
        </w:trPr>
        <w:tc>
          <w:tcPr>
            <w:tcW w:type="dxa" w:w="46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92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Місія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mission</w:t>
            </w:r>
          </w:p>
        </w:tc>
        <w:tc>
          <w:tcPr>
            <w:tcW w:type="dxa" w:w="157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операційна</w:t>
            </w:r>
          </w:p>
        </w:tc>
        <w:tc>
          <w:tcPr>
            <w:tcW w:type="dxa" w:w="93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45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Бойові завдання на перехоплення та їх життєвий цикл</w:t>
            </w:r>
          </w:p>
        </w:tc>
      </w:tr>
      <w:tr>
        <w:trPr>
          <w:cantSplit w:val="true"/>
        </w:trPr>
        <w:tc>
          <w:tcPr>
            <w:tcW w:type="dxa" w:w="46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92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Подія місії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mission_event</w:t>
            </w:r>
          </w:p>
        </w:tc>
        <w:tc>
          <w:tcPr>
            <w:tcW w:type="dxa" w:w="157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операційна</w:t>
            </w:r>
          </w:p>
        </w:tc>
        <w:tc>
          <w:tcPr>
            <w:tcW w:type="dxa" w:w="93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45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Хронологія подій кожної місії</w:t>
            </w:r>
          </w:p>
        </w:tc>
      </w:tr>
      <w:tr>
        <w:trPr>
          <w:cantSplit w:val="true"/>
        </w:trPr>
        <w:tc>
          <w:tcPr>
            <w:tcW w:type="dxa" w:w="46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192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Кадр телеметрії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telemetry_frame</w:t>
            </w:r>
          </w:p>
        </w:tc>
        <w:tc>
          <w:tcPr>
            <w:tcW w:type="dxa" w:w="157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операційна</w:t>
            </w:r>
          </w:p>
        </w:tc>
        <w:tc>
          <w:tcPr>
            <w:tcW w:type="dxa" w:w="93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45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Телеметрія перехоплювача під час місії</w:t>
            </w:r>
          </w:p>
        </w:tc>
      </w:tr>
      <w:tr>
        <w:trPr>
          <w:cantSplit w:val="true"/>
        </w:trPr>
        <w:tc>
          <w:tcPr>
            <w:tcW w:type="dxa" w:w="46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192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 журналу аудиту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audit_log</w:t>
            </w:r>
          </w:p>
        </w:tc>
        <w:tc>
          <w:tcPr>
            <w:tcW w:type="dxa" w:w="157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операційна</w:t>
            </w:r>
          </w:p>
        </w:tc>
        <w:tc>
          <w:tcPr>
            <w:tcW w:type="dxa" w:w="93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45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Незмінний журнал дій користувачів, сервісів і пристроїв</w:t>
            </w:r>
          </w:p>
        </w:tc>
      </w:tr>
      <w:tr>
        <w:trPr>
          <w:cantSplit w:val="true"/>
        </w:trPr>
        <w:tc>
          <w:tcPr>
            <w:tcW w:type="dxa" w:w="46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92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 доступу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permission</w:t>
            </w:r>
          </w:p>
        </w:tc>
        <w:tc>
          <w:tcPr>
            <w:tcW w:type="dxa" w:w="157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довідникова</w:t>
            </w:r>
          </w:p>
        </w:tc>
        <w:tc>
          <w:tcPr>
            <w:tcW w:type="dxa" w:w="93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45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Елементарні права на операції в системі</w:t>
            </w:r>
          </w:p>
        </w:tc>
      </w:tr>
      <w:tr>
        <w:trPr>
          <w:cantSplit w:val="true"/>
        </w:trPr>
        <w:tc>
          <w:tcPr>
            <w:tcW w:type="dxa" w:w="46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92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Користувач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personnel</w:t>
            </w:r>
          </w:p>
        </w:tc>
        <w:tc>
          <w:tcPr>
            <w:tcW w:type="dxa" w:w="157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основна</w:t>
            </w:r>
          </w:p>
        </w:tc>
        <w:tc>
          <w:tcPr>
            <w:tcW w:type="dxa" w:w="93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45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Особовий склад — користувачі системи</w:t>
            </w:r>
          </w:p>
        </w:tc>
      </w:tr>
      <w:tr>
        <w:trPr>
          <w:cantSplit w:val="true"/>
        </w:trPr>
        <w:tc>
          <w:tcPr>
            <w:tcW w:type="dxa" w:w="46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192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role</w:t>
            </w:r>
          </w:p>
        </w:tc>
        <w:tc>
          <w:tcPr>
            <w:tcW w:type="dxa" w:w="157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довідникова</w:t>
            </w:r>
          </w:p>
        </w:tc>
        <w:tc>
          <w:tcPr>
            <w:tcW w:type="dxa" w:w="93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45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Ролі користувачів для розмежування доступу (RBAC)</w:t>
            </w:r>
          </w:p>
        </w:tc>
      </w:tr>
      <w:tr>
        <w:trPr>
          <w:cantSplit w:val="true"/>
        </w:trPr>
        <w:tc>
          <w:tcPr>
            <w:tcW w:type="dxa" w:w="46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929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 ролі</w:t>
            </w:r>
          </w:p>
        </w:tc>
        <w:tc>
          <w:tcPr>
            <w:tcW w:type="dxa" w:w="198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role_permission</w:t>
            </w:r>
          </w:p>
        </w:tc>
        <w:tc>
          <w:tcPr>
            <w:tcW w:type="dxa" w:w="1579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довідникова</w:t>
            </w:r>
          </w:p>
        </w:tc>
        <w:tc>
          <w:tcPr>
            <w:tcW w:type="dxa" w:w="935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456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Асоціативна таблиця зв’язку «багато-до-багатьох» між ролями та правами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Підсистеми: 1 — «Територія, сенсори та повітряна обстановка», 2 — «Вогневі ресурси», 3 — «Бойові завдання», 4 — «Користувачі, доступ і аудит».</w:t>
      </w:r>
    </w:p>
    <w:p>
      <w:pPr>
        <w:pStyle w:val="828"/>
        <w:keepNext/>
        <w:pageBreakBefore w:val="0"/>
        <w:widowControl/>
        <w:spacing w:line="360" w:lineRule="auto" w:before="120" w:after="120"/>
        <w:ind w:firstLine="709" w:left="0"/>
        <w:jc w:val="left"/>
      </w:pPr>
      <w:bookmarkStart w:id="12" w:name="_Toc000012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ER-діаграми підсистем</w:t>
      </w:r>
      <w:bookmarkEnd w:id="12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діаграмах кожна сутність зображена прямокутником, у верхній частині якого — первинний ключ «PK», у нижній — інші атрибути; позначка «FK» вказує зовнішній ключ, «U» — унікальний атрибут, зірочка — обов’язковий атрибут. Сутності інших підсистем, на які є посилання, показано скорочено (лише ключ) зі стереотипом «група N». Біля ліній зв’язку наведено назву зв’язку з боку батьківської сутності.</w:t>
      </w:r>
    </w:p>
    <w:p>
      <w:pPr>
        <w:pStyle w:val="829"/>
        <w:keepNext/>
        <w:pageBreakBefore w:val="0"/>
        <w:widowControl/>
        <w:spacing w:line="360" w:lineRule="auto" w:before="12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/>
          <w:color w:val="000000"/>
          <w:sz w:val="28"/>
        </w:rPr>
        <w:t>4.2.1. Підсистема «Територія, сенсори та повітряна обстановка»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Підсистема (рис. 1.2) описує, де і що спостерігає центр. «Сектор» містить об’єкти прикриття та охоплює сенсори (зв’язки 1 : 0..∗). «Сенсор» формує множину виявлень; кожне «Виявлення» належить рівно одному сенсору, але до зіставлення з треком не має треку, тому зв’язок «Повітряний трек — Виявлення» необов’язковий з боку треку (0..1 : 0..∗). «Повітряний трек» може посилатися на об’єкт прикриття, до якого прямує ціль, і на користувача, що підтвердив класифікацію; обидва зв’язки необов’язкові, бо заповнюються лише після аналізу.</w:t>
      </w:r>
    </w:p>
    <w:p>
      <w:pPr>
        <w:sectPr>
          <w:footnotePr/>
          <w:endnotePr/>
          <w:pgSz w:h="16838" w:w="11906"/>
          <w:pgMar w:top="1134" w:right="850" w:bottom="1134" w:left="1701" w:header="709" w:footer="709" w:gutter="0"/>
          <w:cols w:num="1" w:sep="0" w:space="708" w:equalWidth="1"/>
        </w:sectPr>
      </w:pP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9252000" cy="37095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logical_g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252000" cy="3709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1.2 — Логічна модель: підсистема «Територія, сенсори та повітряна обстановка»</w:t>
      </w:r>
    </w:p>
    <w:p>
      <w:pPr>
        <w:sectPr>
          <w:footnotePr/>
          <w:endnotePr/>
          <w:pgSz w:h="11906" w:w="16838" w:orient="landscape"/>
          <w:pgMar w:top="1701" w:right="1134" w:bottom="850" w:left="1134" w:header="709" w:footer="709" w:gutter="0"/>
          <w:cols w:num="1" w:sep="0" w:space="708" w:equalWidth="1"/>
        </w:sectPr>
      </w:pPr>
    </w:p>
    <w:p>
      <w:pPr>
        <w:pStyle w:val="829"/>
        <w:keepNext/>
        <w:pageBreakBefore w:val="0"/>
        <w:widowControl/>
        <w:spacing w:line="360" w:lineRule="auto" w:before="12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/>
          <w:color w:val="000000"/>
          <w:sz w:val="28"/>
        </w:rPr>
        <w:t>4.2.2. Підсистема «Вогневі ресурси»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Підсистема (рис. 1.3) описує вогневі ресурси. «Вогнева позиція» належить сектору і розміщує розрахунки та зберігає перехоплювачі. «Модель перехоплювача» винесено в окрему довідникову сутність: тактико-технічні межі (швидкість, дальність, тривалість польоту, граничний вітер) залежать від моделі, а не від екземпляра, тому їх зберігання в «Перехоплювачі» порушило б 3НФ. Зв’язок «Позиція — Перехоплювач» необов’язковий: перехоплювач на складі центру не прив’язаний до позиції.</w:t>
      </w: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4226400" cy="63175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logical_g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26400" cy="6317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1.3 — Логічна модель: підсистема «Вогневі ресурси»</w:t>
      </w:r>
    </w:p>
    <w:p>
      <w:pPr>
        <w:pStyle w:val="829"/>
        <w:keepNext/>
        <w:pageBreakBefore w:val="0"/>
        <w:widowControl/>
        <w:spacing w:line="360" w:lineRule="auto" w:before="12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/>
          <w:color w:val="000000"/>
          <w:sz w:val="28"/>
        </w:rPr>
        <w:t>4.2.3. Підсистема «Бойові завдання»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Центральна сутність підсистеми (рис. 1.4) — «Місія». Вона обов’язково пов’язана з треком-ціллю, розрахунком-виконавцем і користувачем, що запропонував місію; перехоплювач і користувач, що санкціонував пуск, заповнюються пізніше, тому ці зв’язки необов’язкові. Два зв’язки з «Користувачем» (пропонує, санкціонує) реалізують правило двох осіб. Від місії залежать «Подія місії» (хронологія, 1 : 0..∗), «Кадр телеметрії» (1 : 0..∗) і «Звіт про перехоплення» — зв’язок 1 : 0..1, оскільки місія має не більше одного звіту. «Кадр телеметрії» має складений ключ «код перехоплювача + час кадру»: перехоплювач у кожний момент часу передає не більше одного кадру.</w:t>
      </w:r>
    </w:p>
    <w:p>
      <w:pPr>
        <w:sectPr>
          <w:footnotePr/>
          <w:endnotePr/>
          <w:pgSz w:h="16838" w:w="11906"/>
          <w:pgMar w:top="1134" w:right="850" w:bottom="1134" w:left="1701" w:header="709" w:footer="709" w:gutter="0"/>
          <w:cols w:num="1" w:sep="0" w:space="708" w:equalWidth="1"/>
        </w:sectPr>
      </w:pP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7628400" cy="52203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logical_g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628400" cy="52203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1.4 — Логічна модель: підсистема «Бойові завдання»</w:t>
      </w:r>
    </w:p>
    <w:p>
      <w:pPr>
        <w:sectPr>
          <w:footnotePr/>
          <w:endnotePr/>
          <w:pgSz w:h="11906" w:w="16838" w:orient="landscape"/>
          <w:pgMar w:top="1701" w:right="1134" w:bottom="850" w:left="1134" w:header="709" w:footer="709" w:gutter="0"/>
          <w:cols w:num="1" w:sep="0" w:space="708" w:equalWidth="1"/>
        </w:sectPr>
      </w:pPr>
    </w:p>
    <w:p>
      <w:pPr>
        <w:pStyle w:val="829"/>
        <w:keepNext/>
        <w:pageBreakBefore w:val="0"/>
        <w:widowControl/>
        <w:spacing w:line="360" w:lineRule="auto" w:before="12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/>
          <w:color w:val="000000"/>
          <w:sz w:val="28"/>
        </w:rPr>
        <w:t>4.2.4. Підсистема «Користувачі, доступ і аудит»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Підсистема (рис. 1.5) реалізує розмежування доступу за ролями. Зв’язок «багато-до-багатьох» між «Роллю» і «Правом доступу» розкладено асоціативною сутністю «Право ролі» зі складеним ключем. «Користувач» має рівно одну роль і може входити до розрахунку (зв’язок необов’язковий — офіцери КП і адміністратори до розрахунків не входять). «Запис журналу аудиту» посилається на користувача лише тоді, коли дію виконала людина; для дій сервісів і пристроїв ключ порожній, а тип суб’єкта задає атрибут.</w:t>
      </w: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5940000" cy="725294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logical_g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252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1.5 — Логічна модель: підсистема «Користувачі, доступ і аудит»</w:t>
      </w:r>
    </w:p>
    <w:p>
      <w:pPr>
        <w:pStyle w:val="828"/>
        <w:keepNext/>
        <w:pageBreakBefore w:val="0"/>
        <w:widowControl/>
        <w:spacing w:line="360" w:lineRule="auto" w:before="120" w:after="120"/>
        <w:ind w:firstLine="709" w:left="0"/>
        <w:jc w:val="left"/>
      </w:pPr>
      <w:bookmarkStart w:id="13" w:name="_Toc000013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Зв’язки між сутностями</w:t>
      </w:r>
      <w:bookmarkEnd w:id="13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Логічна модель містить 26 зв’язків «один-до-багатьох» або «один-до-одного»; зв’язок «багато-до-багатьох» між ролями і правами розкладено на два зв’язки «один-до-багатьох». Повний перелік зв’язків з кратністю та атрибутом зовнішнього ключа наведено в табл. 1.4. Кратність «1» з боку батьківської сутності означає обов’язковий зовнішній ключ, «0..1» — необов’язковий; кратність «0..1» з боку дочірньої сутності означає унікальний зовнішній ключ.</w:t>
      </w:r>
    </w:p>
    <w:p>
      <w:pPr>
        <w:keepNext/>
        <w:pageBreakBefore w:val="0"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1.4 — Зв’язки логічної моделі бази даних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71"/>
        <w:gridCol w:w="1871"/>
        <w:gridCol w:w="1871"/>
        <w:gridCol w:w="1871"/>
        <w:gridCol w:w="1871"/>
      </w:tblGrid>
      <w:tr>
        <w:trPr>
          <w:tblHeader w:val="true"/>
          <w:cantSplit w:val="true"/>
        </w:trPr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Батьківська сутність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Дочірня сутність</w:t>
            </w:r>
          </w:p>
        </w:tc>
        <w:tc>
          <w:tcPr>
            <w:tcW w:type="dxa" w:w="128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Кратність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Зовнішній ключ</w:t>
            </w:r>
          </w:p>
        </w:tc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Назва зв’язку</w:t>
            </w:r>
          </w:p>
        </w:tc>
      </w:tr>
      <w:tr>
        <w:trPr>
          <w:cantSplit w:val="true"/>
        </w:trPr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Роль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Право ролі</w:t>
            </w:r>
          </w:p>
        </w:tc>
        <w:tc>
          <w:tcPr>
            <w:tcW w:type="dxa" w:w="128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 : 0..∗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role_id</w:t>
            </w:r>
          </w:p>
        </w:tc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надає</w:t>
            </w:r>
          </w:p>
        </w:tc>
      </w:tr>
      <w:tr>
        <w:trPr>
          <w:cantSplit w:val="true"/>
        </w:trPr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Право доступу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Право ролі</w:t>
            </w:r>
          </w:p>
        </w:tc>
        <w:tc>
          <w:tcPr>
            <w:tcW w:type="dxa" w:w="128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 : 0..∗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permission_id</w:t>
            </w:r>
          </w:p>
        </w:tc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входить до</w:t>
            </w:r>
          </w:p>
        </w:tc>
      </w:tr>
      <w:tr>
        <w:trPr>
          <w:cantSplit w:val="true"/>
        </w:trPr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Сектор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Об’єкт прикриття</w:t>
            </w:r>
          </w:p>
        </w:tc>
        <w:tc>
          <w:tcPr>
            <w:tcW w:type="dxa" w:w="128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 : 0..∗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sector_id</w:t>
            </w:r>
          </w:p>
        </w:tc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містить</w:t>
            </w:r>
          </w:p>
        </w:tc>
      </w:tr>
      <w:tr>
        <w:trPr>
          <w:cantSplit w:val="true"/>
        </w:trPr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Сектор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Сенсор</w:t>
            </w:r>
          </w:p>
        </w:tc>
        <w:tc>
          <w:tcPr>
            <w:tcW w:type="dxa" w:w="128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 : 0..∗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sector_id</w:t>
            </w:r>
          </w:p>
        </w:tc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охоплює</w:t>
            </w:r>
          </w:p>
        </w:tc>
      </w:tr>
      <w:tr>
        <w:trPr>
          <w:cantSplit w:val="true"/>
        </w:trPr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Сектор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Вогнева позиція</w:t>
            </w:r>
          </w:p>
        </w:tc>
        <w:tc>
          <w:tcPr>
            <w:tcW w:type="dxa" w:w="128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 : 0..∗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sector_id</w:t>
            </w:r>
          </w:p>
        </w:tc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містить</w:t>
            </w:r>
          </w:p>
        </w:tc>
      </w:tr>
      <w:tr>
        <w:trPr>
          <w:cantSplit w:val="true"/>
        </w:trPr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Вогнева позиція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Розрахунок</w:t>
            </w:r>
          </w:p>
        </w:tc>
        <w:tc>
          <w:tcPr>
            <w:tcW w:type="dxa" w:w="128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 : 0..∗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position_id</w:t>
            </w:r>
          </w:p>
        </w:tc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розміщує</w:t>
            </w:r>
          </w:p>
        </w:tc>
      </w:tr>
      <w:tr>
        <w:trPr>
          <w:cantSplit w:val="true"/>
        </w:trPr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Роль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Користувач</w:t>
            </w:r>
          </w:p>
        </w:tc>
        <w:tc>
          <w:tcPr>
            <w:tcW w:type="dxa" w:w="128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 : 0..∗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role_id</w:t>
            </w:r>
          </w:p>
        </w:tc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визначає права</w:t>
            </w:r>
          </w:p>
        </w:tc>
      </w:tr>
      <w:tr>
        <w:trPr>
          <w:cantSplit w:val="true"/>
        </w:trPr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Розрахунок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Користувач</w:t>
            </w:r>
          </w:p>
        </w:tc>
        <w:tc>
          <w:tcPr>
            <w:tcW w:type="dxa" w:w="128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0..1 : 0..∗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crew_id</w:t>
            </w:r>
          </w:p>
        </w:tc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включає</w:t>
            </w:r>
          </w:p>
        </w:tc>
      </w:tr>
      <w:tr>
        <w:trPr>
          <w:cantSplit w:val="true"/>
        </w:trPr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Модель перехоплювача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Перехоплювач</w:t>
            </w:r>
          </w:p>
        </w:tc>
        <w:tc>
          <w:tcPr>
            <w:tcW w:type="dxa" w:w="128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 : 0..∗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model_id</w:t>
            </w:r>
          </w:p>
        </w:tc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описує</w:t>
            </w:r>
          </w:p>
        </w:tc>
      </w:tr>
      <w:tr>
        <w:trPr>
          <w:cantSplit w:val="true"/>
        </w:trPr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Вогнева позиція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Перехоплювач</w:t>
            </w:r>
          </w:p>
        </w:tc>
        <w:tc>
          <w:tcPr>
            <w:tcW w:type="dxa" w:w="128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0..1 : 0..∗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position_id</w:t>
            </w:r>
          </w:p>
        </w:tc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зберігає</w:t>
            </w:r>
          </w:p>
        </w:tc>
      </w:tr>
      <w:tr>
        <w:trPr>
          <w:cantSplit w:val="true"/>
        </w:trPr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Об’єкт прикриття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Повітряний трек</w:t>
            </w:r>
          </w:p>
        </w:tc>
        <w:tc>
          <w:tcPr>
            <w:tcW w:type="dxa" w:w="128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0..1 : 0..∗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predicted_object_id</w:t>
            </w:r>
          </w:p>
        </w:tc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під загрозою від</w:t>
            </w:r>
          </w:p>
        </w:tc>
      </w:tr>
      <w:tr>
        <w:trPr>
          <w:cantSplit w:val="true"/>
        </w:trPr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Користувач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Повітряний трек</w:t>
            </w:r>
          </w:p>
        </w:tc>
        <w:tc>
          <w:tcPr>
            <w:tcW w:type="dxa" w:w="128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0..1 : 0..∗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classified_by</w:t>
            </w:r>
          </w:p>
        </w:tc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класифікує</w:t>
            </w:r>
          </w:p>
        </w:tc>
      </w:tr>
      <w:tr>
        <w:trPr>
          <w:cantSplit w:val="true"/>
        </w:trPr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Сенсор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Виявлення</w:t>
            </w:r>
          </w:p>
        </w:tc>
        <w:tc>
          <w:tcPr>
            <w:tcW w:type="dxa" w:w="128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 : 0..∗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sensor_id</w:t>
            </w:r>
          </w:p>
        </w:tc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формує</w:t>
            </w:r>
          </w:p>
        </w:tc>
      </w:tr>
      <w:tr>
        <w:trPr>
          <w:cantSplit w:val="true"/>
        </w:trPr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Повітряний трек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Виявлення</w:t>
            </w:r>
          </w:p>
        </w:tc>
        <w:tc>
          <w:tcPr>
            <w:tcW w:type="dxa" w:w="128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0..1 : 0..∗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track_id</w:t>
            </w:r>
          </w:p>
        </w:tc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агрегує</w:t>
            </w:r>
          </w:p>
        </w:tc>
      </w:tr>
      <w:tr>
        <w:trPr>
          <w:cantSplit w:val="true"/>
        </w:trPr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Повітряний трек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Місія</w:t>
            </w:r>
          </w:p>
        </w:tc>
        <w:tc>
          <w:tcPr>
            <w:tcW w:type="dxa" w:w="128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 : 0..∗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track_id</w:t>
            </w:r>
          </w:p>
        </w:tc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є ціллю</w:t>
            </w:r>
          </w:p>
        </w:tc>
      </w:tr>
      <w:tr>
        <w:trPr>
          <w:cantSplit w:val="true"/>
        </w:trPr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Розрахунок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Місія</w:t>
            </w:r>
          </w:p>
        </w:tc>
        <w:tc>
          <w:tcPr>
            <w:tcW w:type="dxa" w:w="128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 : 0..∗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crew_id</w:t>
            </w:r>
          </w:p>
        </w:tc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виконує</w:t>
            </w:r>
          </w:p>
        </w:tc>
      </w:tr>
      <w:tr>
        <w:trPr>
          <w:cantSplit w:val="true"/>
        </w:trPr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Перехоплювач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Місія</w:t>
            </w:r>
          </w:p>
        </w:tc>
        <w:tc>
          <w:tcPr>
            <w:tcW w:type="dxa" w:w="128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0..1 : 0..∗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interceptor_id</w:t>
            </w:r>
          </w:p>
        </w:tc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застосовується в</w:t>
            </w:r>
          </w:p>
        </w:tc>
      </w:tr>
      <w:tr>
        <w:trPr>
          <w:cantSplit w:val="true"/>
        </w:trPr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Користувач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Місія</w:t>
            </w:r>
          </w:p>
        </w:tc>
        <w:tc>
          <w:tcPr>
            <w:tcW w:type="dxa" w:w="128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 : 0..∗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proposed_by</w:t>
            </w:r>
          </w:p>
        </w:tc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пропонує</w:t>
            </w:r>
          </w:p>
        </w:tc>
      </w:tr>
      <w:tr>
        <w:trPr>
          <w:cantSplit w:val="true"/>
        </w:trPr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Користувач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Місія</w:t>
            </w:r>
          </w:p>
        </w:tc>
        <w:tc>
          <w:tcPr>
            <w:tcW w:type="dxa" w:w="128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0..1 : 0..∗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approved_by</w:t>
            </w:r>
          </w:p>
        </w:tc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санкціонує</w:t>
            </w:r>
          </w:p>
        </w:tc>
      </w:tr>
      <w:tr>
        <w:trPr>
          <w:cantSplit w:val="true"/>
        </w:trPr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Місія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Подія місії</w:t>
            </w:r>
          </w:p>
        </w:tc>
        <w:tc>
          <w:tcPr>
            <w:tcW w:type="dxa" w:w="128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 : 0..∗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mission_id</w:t>
            </w:r>
          </w:p>
        </w:tc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фіксує</w:t>
            </w:r>
          </w:p>
        </w:tc>
      </w:tr>
      <w:tr>
        <w:trPr>
          <w:cantSplit w:val="true"/>
        </w:trPr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Користувач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Подія місії</w:t>
            </w:r>
          </w:p>
        </w:tc>
        <w:tc>
          <w:tcPr>
            <w:tcW w:type="dxa" w:w="128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0..1 : 0..∗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actor_id</w:t>
            </w:r>
          </w:p>
        </w:tc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ініціює</w:t>
            </w:r>
          </w:p>
        </w:tc>
      </w:tr>
      <w:tr>
        <w:trPr>
          <w:cantSplit w:val="true"/>
        </w:trPr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Перехоплювач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Кадр телеметрії</w:t>
            </w:r>
          </w:p>
        </w:tc>
        <w:tc>
          <w:tcPr>
            <w:tcW w:type="dxa" w:w="128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 : 0..∗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interceptor_id</w:t>
            </w:r>
          </w:p>
        </w:tc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передає</w:t>
            </w:r>
          </w:p>
        </w:tc>
      </w:tr>
      <w:tr>
        <w:trPr>
          <w:cantSplit w:val="true"/>
        </w:trPr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Місія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Кадр телеметрії</w:t>
            </w:r>
          </w:p>
        </w:tc>
        <w:tc>
          <w:tcPr>
            <w:tcW w:type="dxa" w:w="128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 : 0..∗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mission_id</w:t>
            </w:r>
          </w:p>
        </w:tc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супроводжує</w:t>
            </w:r>
          </w:p>
        </w:tc>
      </w:tr>
      <w:tr>
        <w:trPr>
          <w:cantSplit w:val="true"/>
        </w:trPr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Місія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Звіт про перехоплення</w:t>
            </w:r>
          </w:p>
        </w:tc>
        <w:tc>
          <w:tcPr>
            <w:tcW w:type="dxa" w:w="128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 : 0..1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mission_id</w:t>
            </w:r>
          </w:p>
        </w:tc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підсумовує</w:t>
            </w:r>
          </w:p>
        </w:tc>
      </w:tr>
      <w:tr>
        <w:trPr>
          <w:cantSplit w:val="true"/>
        </w:trPr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Користувач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Звіт про перехоплення</w:t>
            </w:r>
          </w:p>
        </w:tc>
        <w:tc>
          <w:tcPr>
            <w:tcW w:type="dxa" w:w="128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 : 0..∗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submitted_by</w:t>
            </w:r>
          </w:p>
        </w:tc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подає</w:t>
            </w:r>
          </w:p>
        </w:tc>
      </w:tr>
      <w:tr>
        <w:trPr>
          <w:cantSplit w:val="true"/>
        </w:trPr>
        <w:tc>
          <w:tcPr>
            <w:tcW w:type="dxa" w:w="198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Користувач</w:t>
            </w:r>
          </w:p>
        </w:tc>
        <w:tc>
          <w:tcPr>
            <w:tcW w:type="dxa" w:w="2105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Запис журналу аудиту</w:t>
            </w:r>
          </w:p>
        </w:tc>
        <w:tc>
          <w:tcPr>
            <w:tcW w:type="dxa" w:w="1286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0..1 : 0..∗</w:t>
            </w:r>
          </w:p>
        </w:tc>
        <w:tc>
          <w:tcPr>
            <w:tcW w:type="dxa" w:w="2105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actor_id</w:t>
            </w:r>
          </w:p>
        </w:tc>
        <w:tc>
          <w:tcPr>
            <w:tcW w:type="dxa" w:w="1871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виконує дії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pStyle w:val="828"/>
        <w:keepNext/>
        <w:pageBreakBefore w:val="0"/>
        <w:widowControl/>
        <w:spacing w:line="360" w:lineRule="auto" w:before="120" w:after="120"/>
        <w:ind w:firstLine="709" w:left="0"/>
        <w:jc w:val="left"/>
      </w:pPr>
      <w:bookmarkStart w:id="14" w:name="_Toc000014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Нормалізація моделі</w:t>
      </w:r>
      <w:bookmarkEnd w:id="14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перевірено на відповідність трьом нормальним формам.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1НФ.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Усі атрибути атомарні: координати зберігаються окремими атрибутами широти й довготи, позивний, номер і стан — окремими полями, повторюваних груп немає (наприклад, кілька подій місії — це кілька записів сутності «Подія місії», а не список у місії). Атрибути типу «документ» — межа зони, профіль калібрування, дані події, підтвердження, деталі аудиту — система обробляє як одне ціле значення і не виконує за їх частинами з’єднань, тому вони не порушують 1НФ. Кожна сутність має первинний ключ.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2НФ.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Складені ключі мають лише дві сутності. У «Праві ролі» єдиний неключовий атрибут — дата надання — залежить від пари «роль + право». У «Кадрі телеметрії» координати, висота, швидкість, заряд і якість зв’язку, а також місія залежать від пари «перехоплювач + час», бо в інший момент той самий перехоплювач має інші значення. Часткових залежностей немає.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3НФ.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Транзитивні залежності усунуто винесенням довідників (табл. 1.5).</w:t>
      </w:r>
    </w:p>
    <w:p>
      <w:pPr>
        <w:keepNext/>
        <w:pageBreakBefore w:val="0"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1.5 — Усунення транзитивних залежностей під час побудови логічної моделі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rPr>
          <w:tblHeader w:val="true"/>
          <w:cantSplit w:val="true"/>
        </w:trPr>
        <w:tc>
          <w:tcPr>
            <w:tcW w:type="dxa" w:w="438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Можлива транзитивна залежність</w:t>
            </w:r>
          </w:p>
        </w:tc>
        <w:tc>
          <w:tcPr>
            <w:tcW w:type="dxa" w:w="496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Рішення в моделі</w:t>
            </w:r>
          </w:p>
        </w:tc>
      </w:tr>
      <w:tr>
        <w:trPr>
          <w:cantSplit w:val="true"/>
        </w:trPr>
        <w:tc>
          <w:tcPr>
            <w:tcW w:type="dxa" w:w="438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Перехоплювач → модель → швидкість, дальність, тривалість польоту</w:t>
            </w:r>
          </w:p>
        </w:tc>
        <w:tc>
          <w:tcPr>
            <w:tcW w:type="dxa" w:w="496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Сутність «Модель перехоплювача», у «Перехоплювачі» — лише код моделі</w:t>
            </w:r>
          </w:p>
        </w:tc>
      </w:tr>
      <w:tr>
        <w:trPr>
          <w:cantSplit w:val="true"/>
        </w:trPr>
        <w:tc>
          <w:tcPr>
            <w:tcW w:type="dxa" w:w="438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Користувач → роль → назва ролі, ознака бойових прав</w:t>
            </w:r>
          </w:p>
        </w:tc>
        <w:tc>
          <w:tcPr>
            <w:tcW w:type="dxa" w:w="496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Сутність «Роль»</w:t>
            </w:r>
          </w:p>
        </w:tc>
      </w:tr>
      <w:tr>
        <w:trPr>
          <w:cantSplit w:val="true"/>
        </w:trPr>
        <w:tc>
          <w:tcPr>
            <w:tcW w:type="dxa" w:w="438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Розрахунок → позиція → сектор</w:t>
            </w:r>
          </w:p>
        </w:tc>
        <w:tc>
          <w:tcPr>
            <w:tcW w:type="dxa" w:w="496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Сектор розрахунку не зберігається, визначається через позицію</w:t>
            </w:r>
          </w:p>
        </w:tc>
      </w:tr>
      <w:tr>
        <w:trPr>
          <w:cantSplit w:val="true"/>
        </w:trPr>
        <w:tc>
          <w:tcPr>
            <w:tcW w:type="dxa" w:w="438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Місія → розрахунок → позивний, позиція</w:t>
            </w:r>
          </w:p>
        </w:tc>
        <w:tc>
          <w:tcPr>
            <w:tcW w:type="dxa" w:w="496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 «Місії» — лише код розрахунку</w:t>
            </w:r>
          </w:p>
        </w:tc>
      </w:tr>
      <w:tr>
        <w:trPr>
          <w:cantSplit w:val="true"/>
        </w:trPr>
        <w:tc>
          <w:tcPr>
            <w:tcW w:type="dxa" w:w="438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Звіт → місія → трек, розрахунок</w:t>
            </w:r>
          </w:p>
        </w:tc>
        <w:tc>
          <w:tcPr>
            <w:tcW w:type="dxa" w:w="496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 «Звіті» — лише код місії; решта — через місію</w:t>
            </w:r>
          </w:p>
        </w:tc>
      </w:tr>
      <w:tr>
        <w:trPr>
          <w:cantSplit w:val="true"/>
        </w:trPr>
        <w:tc>
          <w:tcPr>
            <w:tcW w:type="dxa" w:w="4385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Роль → права (список у полі)</w:t>
            </w:r>
          </w:p>
        </w:tc>
        <w:tc>
          <w:tcPr>
            <w:tcW w:type="dxa" w:w="4969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Асоціативна сутність «Право ролі»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Свідомим винятком є журнал аудиту: пара «таблиця об’єкта + ідентифікатор об’єкта» посилається на запис будь-якої таблиці і не є зовнішнім ключем. Такий поліморфний зв’язок обрано тому, що журнал є незмінним (записи лише додаються) і має зберігати історію навіть для видалених об’єктів.</w:t>
      </w:r>
    </w:p>
    <w:p>
      <w:pPr>
        <w:pStyle w:val="827"/>
        <w:keepNext/>
        <w:pageBreakBefore/>
        <w:widowControl/>
        <w:spacing w:line="360" w:lineRule="auto" w:before="240" w:after="240"/>
        <w:ind w:firstLine="0" w:left="0"/>
        <w:jc w:val="center"/>
      </w:pPr>
      <w:bookmarkStart w:id="15" w:name="_Toc000015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 ФІЗИЧНА МОДЕЛЬ БАЗИ ДАНИХ</w:t>
      </w:r>
      <w:bookmarkEnd w:id="15"/>
    </w:p>
    <w:p>
      <w:pPr>
        <w:pStyle w:val="828"/>
        <w:keepNext/>
        <w:pageBreakBefore w:val="0"/>
        <w:widowControl/>
        <w:spacing w:line="360" w:lineRule="auto" w:before="120" w:after="120"/>
        <w:ind w:firstLine="709" w:left="0"/>
        <w:jc w:val="left"/>
      </w:pPr>
      <w:bookmarkStart w:id="16" w:name="_Toc000016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Вибір СКБД і відображення типів даних</w:t>
      </w:r>
      <w:bookmarkEnd w:id="16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Фізичну модель побудовано для СКБД PostgreSQL. Вибір обумовлено: підтримкою перелічуваних типів (ENUM) [10], що дає змогу зберігати стани українською мовою з контролем допустимих значень; двійковим типом JSONB для документних атрибутів [11]; вбудованою генерацією UUID [12]; повною підтримкою обмежень цілісності PRIMARY KEY, FOREIGN KEY, UNIQUE, NOT NULL і CHECK [13]; можливістю розподіленого розгортання, потрібною IoT-системі з периферійними вузлами. Правила відображення доменів логічної моделі на типи PostgreSQL [14] наведено в табл. 1.6.</w:t>
      </w:r>
    </w:p>
    <w:p>
      <w:pPr>
        <w:keepNext/>
        <w:pageBreakBefore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1.6 — Відображення доменів логічної моделі на типи даних PostgreSQL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rPr>
          <w:tblHeader w:val="true"/>
          <w:cantSplit w:val="true"/>
        </w:trPr>
        <w:tc>
          <w:tcPr>
            <w:tcW w:type="dxa" w:w="268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Домен (приклад атрибута)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 PostgreSQL</w:t>
            </w:r>
          </w:p>
        </w:tc>
        <w:tc>
          <w:tcPr>
            <w:tcW w:type="dxa" w:w="467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Обґрунтування</w:t>
            </w:r>
          </w:p>
        </w:tc>
      </w:tr>
      <w:tr>
        <w:trPr>
          <w:cantSplit w:val="true"/>
        </w:trPr>
        <w:tc>
          <w:tcPr>
            <w:tcW w:type="dxa" w:w="268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основної та операційної сутності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UUID</w:t>
            </w:r>
          </w:p>
        </w:tc>
        <w:tc>
          <w:tcPr>
            <w:tcW w:type="dxa" w:w="467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Генерується на периферійних вузлах без звернення до центру — ключі не конфліктують під час синхронізації</w:t>
            </w:r>
          </w:p>
        </w:tc>
      </w:tr>
      <w:tr>
        <w:trPr>
          <w:cantSplit w:val="true"/>
        </w:trPr>
        <w:tc>
          <w:tcPr>
            <w:tcW w:type="dxa" w:w="268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довідника (роль, право, модель)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SMALLINT IDENTITY</w:t>
            </w:r>
          </w:p>
        </w:tc>
        <w:tc>
          <w:tcPr>
            <w:tcW w:type="dxa" w:w="467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Довідник малий (до сотень записів), ключ займає 2 байти</w:t>
            </w:r>
          </w:p>
        </w:tc>
      </w:tr>
      <w:tr>
        <w:trPr>
          <w:cantSplit w:val="true"/>
        </w:trPr>
        <w:tc>
          <w:tcPr>
            <w:tcW w:type="dxa" w:w="268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високочастотного журналу (виявлення, подія, аудит)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BIGINT IDENTITY</w:t>
            </w:r>
          </w:p>
        </w:tc>
        <w:tc>
          <w:tcPr>
            <w:tcW w:type="dxa" w:w="467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Мільйони записів; послідовність зберігає порядок надходження</w:t>
            </w:r>
          </w:p>
        </w:tc>
      </w:tr>
      <w:tr>
        <w:trPr>
          <w:cantSplit w:val="true"/>
        </w:trPr>
        <w:tc>
          <w:tcPr>
            <w:tcW w:type="dxa" w:w="268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Умовні номери, позивні, логіни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VARCHAR(n)</w:t>
            </w:r>
          </w:p>
        </w:tc>
        <w:tc>
          <w:tcPr>
            <w:tcW w:type="dxa" w:w="467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Обмежена довжина контролює коректність введення</w:t>
            </w:r>
          </w:p>
        </w:tc>
      </w:tr>
      <w:tr>
        <w:trPr>
          <w:cantSplit w:val="true"/>
        </w:trPr>
        <w:tc>
          <w:tcPr>
            <w:tcW w:type="dxa" w:w="268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Стан, тип, належність, оцінка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ENUM</w:t>
            </w:r>
          </w:p>
        </w:tc>
        <w:tc>
          <w:tcPr>
            <w:tcW w:type="dxa" w:w="467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Лише допустимі значення; порядок значень відповідає життєвому циклу</w:t>
            </w:r>
          </w:p>
        </w:tc>
      </w:tr>
      <w:tr>
        <w:trPr>
          <w:cantSplit w:val="true"/>
        </w:trPr>
        <w:tc>
          <w:tcPr>
            <w:tcW w:type="dxa" w:w="268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Координати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DECIMAL(9,6)</w:t>
            </w:r>
          </w:p>
        </w:tc>
        <w:tc>
          <w:tcPr>
            <w:tcW w:type="dxa" w:w="467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Точність 10⁻⁶ градуса (≈ 0,1 м) без похибок округлення</w:t>
            </w:r>
          </w:p>
        </w:tc>
      </w:tr>
      <w:tr>
        <w:trPr>
          <w:cantSplit w:val="true"/>
        </w:trPr>
        <w:tc>
          <w:tcPr>
            <w:tcW w:type="dxa" w:w="268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Висота, швидкість, оцінка загрози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DECIMAL(p,s)</w:t>
            </w:r>
          </w:p>
        </w:tc>
        <w:tc>
          <w:tcPr>
            <w:tcW w:type="dxa" w:w="467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Точне подання дробових значень</w:t>
            </w:r>
          </w:p>
        </w:tc>
      </w:tr>
      <w:tr>
        <w:trPr>
          <w:cantSplit w:val="true"/>
        </w:trPr>
        <w:tc>
          <w:tcPr>
            <w:tcW w:type="dxa" w:w="268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Лічильники, радіус, відсотки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INTEGER, SMALLINT</w:t>
            </w:r>
          </w:p>
        </w:tc>
        <w:tc>
          <w:tcPr>
            <w:tcW w:type="dxa" w:w="467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Цілі значення з контролем діапазону CHECK</w:t>
            </w:r>
          </w:p>
        </w:tc>
      </w:tr>
      <w:tr>
        <w:trPr>
          <w:cantSplit w:val="true"/>
        </w:trPr>
        <w:tc>
          <w:tcPr>
            <w:tcW w:type="dxa" w:w="268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Моменти часу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TIMESTAMPTZ</w:t>
            </w:r>
          </w:p>
        </w:tc>
        <w:tc>
          <w:tcPr>
            <w:tcW w:type="dxa" w:w="467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 з часовим поясом, однозначний для розподілених вузлів</w:t>
            </w:r>
          </w:p>
        </w:tc>
      </w:tr>
      <w:tr>
        <w:trPr>
          <w:cantSplit w:val="true"/>
        </w:trPr>
        <w:tc>
          <w:tcPr>
            <w:tcW w:type="dxa" w:w="268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Дати (допуск, надходження)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DATE</w:t>
            </w:r>
          </w:p>
        </w:tc>
        <w:tc>
          <w:tcPr>
            <w:tcW w:type="dxa" w:w="467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 доби не потрібен</w:t>
            </w:r>
          </w:p>
        </w:tc>
      </w:tr>
      <w:tr>
        <w:trPr>
          <w:cantSplit w:val="true"/>
        </w:trPr>
        <w:tc>
          <w:tcPr>
            <w:tcW w:type="dxa" w:w="268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Ознаки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BOOLEAN</w:t>
            </w:r>
          </w:p>
        </w:tc>
        <w:tc>
          <w:tcPr>
            <w:tcW w:type="dxa" w:w="467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Два значення</w:t>
            </w:r>
          </w:p>
        </w:tc>
      </w:tr>
      <w:tr>
        <w:trPr>
          <w:cantSplit w:val="true"/>
        </w:trPr>
        <w:tc>
          <w:tcPr>
            <w:tcW w:type="dxa" w:w="268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Документні атрибути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JSONB</w:t>
            </w:r>
          </w:p>
        </w:tc>
        <w:tc>
          <w:tcPr>
            <w:tcW w:type="dxa" w:w="467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Змінна структура, індексування за потреби</w:t>
            </w:r>
          </w:p>
        </w:tc>
      </w:tr>
      <w:tr>
        <w:trPr>
          <w:cantSplit w:val="true"/>
        </w:trPr>
        <w:tc>
          <w:tcPr>
            <w:tcW w:type="dxa" w:w="2689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Хеш запису аудиту</w:t>
            </w:r>
          </w:p>
        </w:tc>
        <w:tc>
          <w:tcPr>
            <w:tcW w:type="dxa" w:w="198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CHAR(64)</w:t>
            </w:r>
          </w:p>
        </w:tc>
        <w:tc>
          <w:tcPr>
            <w:tcW w:type="dxa" w:w="4677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SHA-256 у шістнадцятковому записі має фіксовану довжину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pStyle w:val="828"/>
        <w:keepNext/>
        <w:pageBreakBefore w:val="0"/>
        <w:widowControl/>
        <w:spacing w:line="360" w:lineRule="auto" w:before="120" w:after="120"/>
        <w:ind w:firstLine="709" w:left="0"/>
        <w:jc w:val="left"/>
      </w:pPr>
      <w:bookmarkStart w:id="17" w:name="_Toc000017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Діаграми фізичної моделі</w:t>
      </w:r>
      <w:bookmarkEnd w:id="17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Діаграми фізичної моделі (рис. 1.6–1.9) мають ту саму структуру, що й логічні, але сутності замінено таблицями з іменами латиницею, атрибути — стовпцями з типами PostgreSQL. Позначення PK, FK, U та зірочка (NOT NULL) збережені.</w:t>
      </w:r>
    </w:p>
    <w:p>
      <w:pPr>
        <w:sectPr>
          <w:footnotePr/>
          <w:endnotePr/>
          <w:pgSz w:h="16838" w:w="11906"/>
          <w:pgMar w:top="1134" w:right="850" w:bottom="1134" w:left="1701" w:header="709" w:footer="709" w:gutter="0"/>
          <w:cols w:num="1" w:sep="0" w:space="708" w:equalWidth="1"/>
        </w:sectPr>
      </w:pP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9252000" cy="485350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hysical_g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252000" cy="4853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1.6 — Фізична модель: підсистема «Територія, сенсори та повітряна обстановка»</w:t>
      </w:r>
    </w:p>
    <w:p>
      <w:pPr>
        <w:sectPr>
          <w:footnotePr/>
          <w:endnotePr/>
          <w:pgSz w:h="11906" w:w="16838" w:orient="landscape"/>
          <w:pgMar w:top="1701" w:right="1134" w:bottom="850" w:left="1134" w:header="709" w:footer="709" w:gutter="0"/>
          <w:cols w:num="1" w:sep="0" w:space="708" w:equalWidth="1"/>
        </w:sectPr>
      </w:pP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5482800" cy="585712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hysical_g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2800" cy="5857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1.7 — Фізична модель: підсистема «Вогневі ресурси»</w:t>
      </w:r>
    </w:p>
    <w:p>
      <w:pPr>
        <w:sectPr>
          <w:footnotePr/>
          <w:endnotePr/>
          <w:pgSz w:h="16838" w:w="11906"/>
          <w:pgMar w:top="1134" w:right="850" w:bottom="1134" w:left="1701" w:header="709" w:footer="709" w:gutter="0"/>
          <w:cols w:num="1" w:sep="0" w:space="708" w:equalWidth="1"/>
        </w:sectPr>
      </w:pP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6883200" cy="521923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physical_g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883200" cy="5219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1.8 — Фізична модель: підсистема «Бойові завдання»</w:t>
      </w:r>
    </w:p>
    <w:p>
      <w:pPr>
        <w:sectPr>
          <w:footnotePr/>
          <w:endnotePr/>
          <w:pgSz w:h="11906" w:w="16838" w:orient="landscape"/>
          <w:pgMar w:top="1701" w:right="1134" w:bottom="850" w:left="1134" w:header="709" w:footer="709" w:gutter="0"/>
          <w:cols w:num="1" w:sep="0" w:space="708" w:equalWidth="1"/>
        </w:sectPr>
      </w:pP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5940000" cy="594925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physical_g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949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1.9 — Фізична модель: підсистема «Користувачі, доступ і аудит»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Порівняно з логічною моделлю на фізичному рівні додано: генерацію значень ключів (DEFAULT gen_random_uuid() або GENERATED ALWAYS AS IDENTITY); значення за замовчуванням для станів і часу створення (наприклад, нова місія отримує стан «запропонована» і час now()); обмеження CHECK; індекси для типових запитів.</w:t>
      </w:r>
    </w:p>
    <w:p>
      <w:pPr>
        <w:pStyle w:val="828"/>
        <w:keepNext/>
        <w:pageBreakBefore w:val="0"/>
        <w:widowControl/>
        <w:spacing w:line="360" w:lineRule="auto" w:before="120" w:after="120"/>
        <w:ind w:firstLine="709" w:left="0"/>
        <w:jc w:val="left"/>
      </w:pPr>
      <w:bookmarkStart w:id="18" w:name="_Toc000018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Перелічувані типи</w:t>
      </w:r>
      <w:bookmarkEnd w:id="18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Фізична модель визначає 14 перелічуваних типів (табл. 1.7). Значення типів mission_state, air_track_identity, interceptor_state, crew_status та engagement_assessment збігаються з визначеними в практичній роботі № 4 [3]; значення mission_state відповідають станам діаграми станів сутності «Місія».</w:t>
      </w:r>
    </w:p>
    <w:p>
      <w:pPr>
        <w:keepNext/>
        <w:pageBreakBefore w:val="0"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1.7 — Перелічувані типи фізичної моделі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rPr>
          <w:tblHeader w:val="true"/>
          <w:cantSplit w:val="true"/>
        </w:trPr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Тип</w:t>
            </w:r>
          </w:p>
        </w:tc>
        <w:tc>
          <w:tcPr>
            <w:tcW w:type="dxa" w:w="380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Допустимі значення</w:t>
            </w:r>
          </w:p>
        </w:tc>
        <w:tc>
          <w:tcPr>
            <w:tcW w:type="dxa" w:w="280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Використання</w:t>
            </w:r>
          </w:p>
        </w:tc>
      </w:tr>
      <w:tr>
        <w:trPr>
          <w:cantSplit w:val="true"/>
        </w:trPr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sector_zone</w:t>
            </w:r>
          </w:p>
        </w:tc>
        <w:tc>
          <w:tcPr>
            <w:tcW w:type="dxa" w:w="380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зона відповідальності; заборона ураження; коридор дружньої авіації; обмежена зона</w:t>
            </w:r>
          </w:p>
        </w:tc>
        <w:tc>
          <w:tcPr>
            <w:tcW w:type="dxa" w:w="280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sector.zone_type</w:t>
            </w:r>
          </w:p>
        </w:tc>
      </w:tr>
      <w:tr>
        <w:trPr>
          <w:cantSplit w:val="true"/>
        </w:trPr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object_category</w:t>
            </w:r>
          </w:p>
        </w:tc>
        <w:tc>
          <w:tcPr>
            <w:tcW w:type="dxa" w:w="380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I; II; III</w:t>
            </w:r>
          </w:p>
        </w:tc>
        <w:tc>
          <w:tcPr>
            <w:tcW w:type="dxa" w:w="280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protected_object.category</w:t>
            </w:r>
          </w:p>
        </w:tc>
      </w:tr>
      <w:tr>
        <w:trPr>
          <w:cantSplit w:val="true"/>
        </w:trPr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sensor_kind</w:t>
            </w:r>
          </w:p>
        </w:tc>
        <w:tc>
          <w:tcPr>
            <w:tcW w:type="dxa" w:w="380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акустичний; радіолокаційний; оптико-електронний; радіотехнічний; пост спостереження</w:t>
            </w:r>
          </w:p>
        </w:tc>
        <w:tc>
          <w:tcPr>
            <w:tcW w:type="dxa" w:w="280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sensor.kind</w:t>
            </w:r>
          </w:p>
        </w:tc>
      </w:tr>
      <w:tr>
        <w:trPr>
          <w:cantSplit w:val="true"/>
        </w:trPr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sensor_status</w:t>
            </w:r>
          </w:p>
        </w:tc>
        <w:tc>
          <w:tcPr>
            <w:tcW w:type="dxa" w:w="380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зареєстрований; у мережі; деградований; поза мережею; у карантині; виведений</w:t>
            </w:r>
          </w:p>
        </w:tc>
        <w:tc>
          <w:tcPr>
            <w:tcW w:type="dxa" w:w="280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sensor.status</w:t>
            </w:r>
          </w:p>
        </w:tc>
      </w:tr>
      <w:tr>
        <w:trPr>
          <w:cantSplit w:val="true"/>
        </w:trPr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position_status</w:t>
            </w:r>
          </w:p>
        </w:tc>
        <w:tc>
          <w:tcPr>
            <w:tcW w:type="dxa" w:w="380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активна; передислокація; неактивна</w:t>
            </w:r>
          </w:p>
        </w:tc>
        <w:tc>
          <w:tcPr>
            <w:tcW w:type="dxa" w:w="280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position.status</w:t>
            </w:r>
          </w:p>
        </w:tc>
      </w:tr>
      <w:tr>
        <w:trPr>
          <w:cantSplit w:val="true"/>
        </w:trPr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crew_status</w:t>
            </w:r>
          </w:p>
        </w:tc>
        <w:tc>
          <w:tcPr>
            <w:tcW w:type="dxa" w:w="380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готовий; на завданні; недоступний</w:t>
            </w:r>
          </w:p>
        </w:tc>
        <w:tc>
          <w:tcPr>
            <w:tcW w:type="dxa" w:w="280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crew.status</w:t>
            </w:r>
          </w:p>
        </w:tc>
      </w:tr>
      <w:tr>
        <w:trPr>
          <w:cantSplit w:val="true"/>
        </w:trPr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personnel_status</w:t>
            </w:r>
          </w:p>
        </w:tc>
        <w:tc>
          <w:tcPr>
            <w:tcW w:type="dxa" w:w="380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активний; призупинений; відкликаний</w:t>
            </w:r>
          </w:p>
        </w:tc>
        <w:tc>
          <w:tcPr>
            <w:tcW w:type="dxa" w:w="280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personnel.status</w:t>
            </w:r>
          </w:p>
        </w:tc>
      </w:tr>
      <w:tr>
        <w:trPr>
          <w:cantSplit w:val="true"/>
        </w:trPr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interceptor_state</w:t>
            </w:r>
          </w:p>
        </w:tc>
        <w:tc>
          <w:tcPr>
            <w:tcW w:type="dxa" w:w="380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на складі; готовий; застосований; втрачений</w:t>
            </w:r>
          </w:p>
        </w:tc>
        <w:tc>
          <w:tcPr>
            <w:tcW w:type="dxa" w:w="280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interceptor.state</w:t>
            </w:r>
          </w:p>
        </w:tc>
      </w:tr>
      <w:tr>
        <w:trPr>
          <w:cantSplit w:val="true"/>
        </w:trPr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track_state</w:t>
            </w:r>
          </w:p>
        </w:tc>
        <w:tc>
          <w:tcPr>
            <w:tcW w:type="dxa" w:w="380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попередній; підтверджений; класифікований; перехоплюється; знищений; втрачений; переданий; скинутий</w:t>
            </w:r>
          </w:p>
        </w:tc>
        <w:tc>
          <w:tcPr>
            <w:tcW w:type="dxa" w:w="280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air_track.state</w:t>
            </w:r>
          </w:p>
        </w:tc>
      </w:tr>
      <w:tr>
        <w:trPr>
          <w:cantSplit w:val="true"/>
        </w:trPr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air_track_identity</w:t>
            </w:r>
          </w:p>
        </w:tc>
        <w:tc>
          <w:tcPr>
            <w:tcW w:type="dxa" w:w="380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ворожа; дружня; нейтральна; невідома</w:t>
            </w:r>
          </w:p>
        </w:tc>
        <w:tc>
          <w:tcPr>
            <w:tcW w:type="dxa" w:w="280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air_track.identity</w:t>
            </w:r>
          </w:p>
        </w:tc>
      </w:tr>
      <w:tr>
        <w:trPr>
          <w:cantSplit w:val="true"/>
        </w:trPr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mission_state</w:t>
            </w:r>
          </w:p>
        </w:tc>
        <w:tc>
          <w:tcPr>
            <w:tcW w:type="dxa" w:w="380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запропонована; відхилена; санкціонована; перепризначена; прийнята; виконується; скасована; закрита</w:t>
            </w:r>
          </w:p>
        </w:tc>
        <w:tc>
          <w:tcPr>
            <w:tcW w:type="dxa" w:w="280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mission.state</w:t>
            </w:r>
          </w:p>
        </w:tc>
      </w:tr>
      <w:tr>
        <w:trPr>
          <w:cantSplit w:val="true"/>
        </w:trPr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mission_event_type</w:t>
            </w:r>
          </w:p>
        </w:tc>
        <w:tc>
          <w:tcPr>
            <w:tcW w:type="dxa" w:w="380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зміна стану; втрата зв’язку; відновлення зв’язку; оновлення цілі; підтвердження оператора; команда скасування</w:t>
            </w:r>
          </w:p>
        </w:tc>
        <w:tc>
          <w:tcPr>
            <w:tcW w:type="dxa" w:w="280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mission_event.event_type</w:t>
            </w:r>
          </w:p>
        </w:tc>
      </w:tr>
      <w:tr>
        <w:trPr>
          <w:cantSplit w:val="true"/>
        </w:trPr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engagement_assessment</w:t>
            </w:r>
          </w:p>
        </w:tc>
        <w:tc>
          <w:tcPr>
            <w:tcW w:type="dxa" w:w="380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влучання; промах; скасовано</w:t>
            </w:r>
          </w:p>
        </w:tc>
        <w:tc>
          <w:tcPr>
            <w:tcW w:type="dxa" w:w="280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engagement_report.assessment</w:t>
            </w:r>
          </w:p>
        </w:tc>
      </w:tr>
      <w:tr>
        <w:trPr>
          <w:cantSplit w:val="true"/>
        </w:trPr>
        <w:tc>
          <w:tcPr>
            <w:tcW w:type="dxa" w:w="274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actor_type</w:t>
            </w:r>
          </w:p>
        </w:tc>
        <w:tc>
          <w:tcPr>
            <w:tcW w:type="dxa" w:w="3800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користувач; сервіс; пристрій</w:t>
            </w:r>
          </w:p>
        </w:tc>
        <w:tc>
          <w:tcPr>
            <w:tcW w:type="dxa" w:w="2806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audit_log.actor_type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pStyle w:val="828"/>
        <w:keepNext/>
        <w:pageBreakBefore w:val="0"/>
        <w:widowControl/>
        <w:spacing w:line="360" w:lineRule="auto" w:before="120" w:after="120"/>
        <w:ind w:firstLine="709" w:left="0"/>
        <w:jc w:val="left"/>
      </w:pPr>
      <w:bookmarkStart w:id="19" w:name="_Toc000019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Опис таблиць бази даних</w:t>
      </w:r>
      <w:bookmarkEnd w:id="19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Нижче описано всі 18 таблиць: призначення, очікуваний обсяг, хто заповнює, стовпці з типами даних та обмеженнями. У стовпці «Обмеження» вказано: PK — первинний ключ; FK — зовнішній ключ із таблицею, на яку він посилається; UNIQUE — унікальність; NOT NULL / NULL — обов’язковість; DEFAULT — значення за замовчуванням; gen_random_uuid() або IDENTITY — спосіб генерації ключа.</w:t>
      </w:r>
    </w:p>
    <w:p>
      <w:pPr>
        <w:pStyle w:val="829"/>
        <w:keepNext/>
        <w:pageBreakBefore w:val="0"/>
        <w:widowControl/>
        <w:spacing w:line="360" w:lineRule="auto" w:before="12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/>
          <w:color w:val="000000"/>
          <w:sz w:val="28"/>
        </w:rPr>
        <w:t>5.4.1. Довідникові таблиці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Таблиця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role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(«Роль») — ролі користувачів для розмежування доступу (RBAC). Обсяг: 13 записів; заповнює: адміністратор. Структуру наведено в табл. 1.8.</w:t>
      </w:r>
    </w:p>
    <w:p>
      <w:pPr>
        <w:keepNext/>
        <w:pageBreakBefore w:val="0"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1.8 — Структура таблиці role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rPr>
          <w:tblHeader w:val="true"/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Стовпець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Тип даних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Обмеження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Опис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role_id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SMALLINT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PK, NOT NULL, IDENTITY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Код ролі. Сурогатний ключ, генерується СКБД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code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VARCHAR(10)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UNIQUE, 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Умовний код ролі. Код за матрицею ролей, наприклад «R-03»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name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VARCHAR(100)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UNIQUE, 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Назва ролі. Посада або функція, наприклад «Офіцер бойового управління»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combat_rights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BOOLEAN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NULL, DEFAULT false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Ознака бойових прав. Чи може роль санкціонувати місії; у адміністратора завжди false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description</w:t>
            </w:r>
          </w:p>
        </w:tc>
        <w:tc>
          <w:tcPr>
            <w:tcW w:type="dxa" w:w="198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TEXT</w:t>
            </w:r>
          </w:p>
        </w:tc>
        <w:tc>
          <w:tcPr>
            <w:tcW w:type="dxa" w:w="2514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NULL</w:t>
            </w:r>
          </w:p>
        </w:tc>
        <w:tc>
          <w:tcPr>
            <w:tcW w:type="dxa" w:w="274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Опис ролі. Довільний опис обов’язків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Таблиця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permission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(«Право доступу») — елементарні права на операції в системі. Обсяг: ≈ 40 записів; заповнює: адміністратор. Структуру наведено в табл. 1.9.</w:t>
      </w:r>
    </w:p>
    <w:p>
      <w:pPr>
        <w:keepNext/>
        <w:pageBreakBefore w:val="0"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1.9 — Структура таблиці permission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rPr>
          <w:tblHeader w:val="true"/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Стовпець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Тип даних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Обмеження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Опис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permission_id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SMALLINT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PK, NOT NULL, IDENTITY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Код права. Сурогатний ключ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code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VARCHAR(50)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UNIQUE, 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Ідентифікатор права. Машинний код операції, наприклад «mission.approve»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description</w:t>
            </w:r>
          </w:p>
        </w:tc>
        <w:tc>
          <w:tcPr>
            <w:tcW w:type="dxa" w:w="198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VARCHAR(200)</w:t>
            </w:r>
          </w:p>
        </w:tc>
        <w:tc>
          <w:tcPr>
            <w:tcW w:type="dxa" w:w="2514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</w:t>
            </w:r>
          </w:p>
        </w:tc>
        <w:tc>
          <w:tcPr>
            <w:tcW w:type="dxa" w:w="274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Опис права. Зрозумілий користувачу опис операції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Таблиця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role_permission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(«Право ролі») — асоціативна таблиця зв’язку «багато-до-багатьох» між ролями та правами. Обсяг: ≈ 180 записів; заповнює: адміністратор (зміна — після затвердження начальником центру). Структуру наведено в табл. 1.10.</w:t>
      </w:r>
    </w:p>
    <w:p>
      <w:pPr>
        <w:keepNext/>
        <w:pageBreakBefore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1.10 — Структура таблиці role_permission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rPr>
          <w:tblHeader w:val="true"/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Стовпець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Тип даних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Обмеження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Опис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role_id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SMALLINT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PK (складений), FK → role, 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Код ролі. Посилання на роль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permission_id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SMALLINT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PK (складений), FK → permission, 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Код права. Посилання на право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granted_at</w:t>
            </w:r>
          </w:p>
        </w:tc>
        <w:tc>
          <w:tcPr>
            <w:tcW w:type="dxa" w:w="198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TIMESTAMPTZ</w:t>
            </w:r>
          </w:p>
        </w:tc>
        <w:tc>
          <w:tcPr>
            <w:tcW w:type="dxa" w:w="2514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NULL, DEFAULT now()</w:t>
            </w:r>
          </w:p>
        </w:tc>
        <w:tc>
          <w:tcPr>
            <w:tcW w:type="dxa" w:w="274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Дата надання. Момент надання права ролі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Таблиця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sector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(«Сектор») — зони відповідальності, заборони ураження, коридори дружньої авіації. Обсяг: 12 записів; заповнює: офіцер бойового управління. Структуру наведено в табл. 1.11. Обмеження рівня таблиці: CHECK (valid_to IS NULL OR valid_to &gt; valid_from).</w:t>
      </w:r>
    </w:p>
    <w:p>
      <w:pPr>
        <w:keepNext/>
        <w:pageBreakBefore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1.11 — Структура таблиці sector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rPr>
          <w:tblHeader w:val="true"/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Стовпець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Тип даних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Обмеження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Опис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sector_id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UUID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PK, NOT NULL, gen_random_uuid()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Код сектора. Сурогатний ключ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code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VARCHAR(10)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UNIQUE, 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Номер сектора. Наприклад «С-03»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name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VARCHAR(100)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UNIQUE, 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Назва сектора. Назва зони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zone_type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sector_zone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Тип зони. Значення переліку sector_zone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boundary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JSONB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Межа зони. Багатокутник у форматі GeoJSON (WGS 84)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valid_from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TIMESTAMPTZ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NULL, DEFAULT now()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Діє з. Початок дії зони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valid_to</w:t>
            </w:r>
          </w:p>
        </w:tc>
        <w:tc>
          <w:tcPr>
            <w:tcW w:type="dxa" w:w="198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TIMESTAMPTZ</w:t>
            </w:r>
          </w:p>
        </w:tc>
        <w:tc>
          <w:tcPr>
            <w:tcW w:type="dxa" w:w="2514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NULL</w:t>
            </w:r>
          </w:p>
        </w:tc>
        <w:tc>
          <w:tcPr>
            <w:tcW w:type="dxa" w:w="274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Діє до. Кінець дії; порожнє — безстроково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Таблиця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interceptor_model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(«Модель перехоплювача») — тактико-технічні межі моделей дронів-перехоплювачів для перевірки здійсненності місії. Обсяг: 4 записів; заповнює: логіст. Структуру наведено в табл. 1.12. Обмеження рівня таблиці: CHECK (max_speed_kmh &gt; 0); CHECK (range_km &gt; 0); CHECK (endurance_min &gt; 0).</w:t>
      </w:r>
    </w:p>
    <w:p>
      <w:pPr>
        <w:keepNext/>
        <w:pageBreakBefore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1.12 — Структура таблиці interceptor_model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rPr>
          <w:tblHeader w:val="true"/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Стовпець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Тип даних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Обмеження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Опис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model_id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SMALLINT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PK, NOT NULL, IDENTITY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Код моделі. Сурогатний ключ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name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VARCHAR(60)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UNIQUE, 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Назва моделі. Торгова назва або умовне позначення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max_speed_kmh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SMALLINT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Максимальна швидкість. км/год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range_km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DECIMAL(5,1)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Дальність. км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endurance_min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SMALLINT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Тривалість польоту. хв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wind_limit_mps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DECIMAL(4,1)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Граничний вітер. м/с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night_capable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BOOLEAN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Нічне застосування. Наявність тепловізійного каналу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reusable</w:t>
            </w:r>
          </w:p>
        </w:tc>
        <w:tc>
          <w:tcPr>
            <w:tcW w:type="dxa" w:w="198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BOOLEAN</w:t>
            </w:r>
          </w:p>
        </w:tc>
        <w:tc>
          <w:tcPr>
            <w:tcW w:type="dxa" w:w="2514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</w:t>
            </w:r>
          </w:p>
        </w:tc>
        <w:tc>
          <w:tcPr>
            <w:tcW w:type="dxa" w:w="274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Багаторазовість. Чи повертається перехоплювач після місії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pStyle w:val="829"/>
        <w:keepNext/>
        <w:pageBreakBefore w:val="0"/>
        <w:widowControl/>
        <w:spacing w:line="360" w:lineRule="auto" w:before="12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/>
          <w:color w:val="000000"/>
          <w:sz w:val="28"/>
        </w:rPr>
        <w:t>5.4.2. Основні таблиці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Таблиця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protected_object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(«Об’єкт прикриття») — критична інфраструктура, яку прикриває центр. Обсяг: ≈ 40 записів; заповнює: офіцер бойового управління. Структуру наведено в табл. 1.13. Обмеження рівня таблиці: CHECK (lat BETWEEN -90 AND 90); CHECK (lon BETWEEN -180 AND 180).</w:t>
      </w:r>
    </w:p>
    <w:p>
      <w:pPr>
        <w:keepNext/>
        <w:pageBreakBefore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1.13 — Структура таблиці protected_object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rPr>
          <w:tblHeader w:val="true"/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Стовпець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Тип даних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Обмеження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Опис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object_id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UUID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PK, NOT NULL, gen_random_uuid()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Код об’єкта. Сурогатний ключ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sector_id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UUID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FK → sector, 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Код сектора. Сектор, у якому розташовано об’єкт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name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VARCHAR(200)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UNIQUE, 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Назва об’єкта. Наприклад «ТЕЦ-2»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category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object_category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Категорія прикриття. I — найвищий пріоритет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lat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DECIMAL(9,6)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Широта. Градуси WGS 84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lon</w:t>
            </w:r>
          </w:p>
        </w:tc>
        <w:tc>
          <w:tcPr>
            <w:tcW w:type="dxa" w:w="198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DECIMAL(9,6)</w:t>
            </w:r>
          </w:p>
        </w:tc>
        <w:tc>
          <w:tcPr>
            <w:tcW w:type="dxa" w:w="2514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</w:t>
            </w:r>
          </w:p>
        </w:tc>
        <w:tc>
          <w:tcPr>
            <w:tcW w:type="dxa" w:w="274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Довгота. Градуси WGS 84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Таблиця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sensor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(«Сенсор») — сенсорні вузли мережі виявлення та їх технічний стан. Обсяг: 136 записів; заповнює: технік (реєстрація), шлюз (стан). Структуру наведено в табл. 1.14. Обмеження рівня таблиці: CHECK (lat BETWEEN -90 AND 90); CHECK (lon BETWEEN -180 AND 180).</w:t>
      </w:r>
    </w:p>
    <w:p>
      <w:pPr>
        <w:keepNext/>
        <w:pageBreakBefore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1.14 — Структура таблиці sensor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rPr>
          <w:tblHeader w:val="true"/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Стовпець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Тип даних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Обмеження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Опис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sensor_id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UUID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PK, NOT NULL, gen_random_uuid()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Код сенсора. Сурогатний ключ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sector_id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UUID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FK → sector, 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Код сектора. Сектор розміщення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hw_serial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VARCHAR(64)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UNIQUE, 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Заводський номер. Серійний номер пристрою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kind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sensor_kind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Тип сенсора. Значення переліку sensor_kind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status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sensor_status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NULL, DEFAULT 'зареєстрований'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Стан. Поточний стан вузла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lat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DECIMAL(9,6)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Широта. Градуси WGS 84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lon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DECIMAL(9,6)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Довгота. Градуси WGS 84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height_m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DECIMAL(6,1)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Висота встановлення. м над рівнем землі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last_heartbeat_at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TIMESTAMPTZ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Останній сигнал. Час останнього контрольного повідомлення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calibration</w:t>
            </w:r>
          </w:p>
        </w:tc>
        <w:tc>
          <w:tcPr>
            <w:tcW w:type="dxa" w:w="198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JSONB</w:t>
            </w:r>
          </w:p>
        </w:tc>
        <w:tc>
          <w:tcPr>
            <w:tcW w:type="dxa" w:w="2514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NULL</w:t>
            </w:r>
          </w:p>
        </w:tc>
        <w:tc>
          <w:tcPr>
            <w:tcW w:type="dxa" w:w="274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Калібрування. Профіль калібрування (структура залежить від типу)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Таблиця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position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(«Вогнева позиція») — позиції розрахунків перехоплювачів. Обсяг: 10 записів; заповнює: офіцер бойового управління. Структуру наведено в табл. 1.15. Обмеження рівня таблиці: CHECK (engagement_radius_m &gt; 0).</w:t>
      </w:r>
    </w:p>
    <w:p>
      <w:pPr>
        <w:keepNext/>
        <w:pageBreakBefore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1.15 — Структура таблиці position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rPr>
          <w:tblHeader w:val="true"/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Стовпець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Тип даних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Обмеження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Опис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position_id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UUID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PK, NOT NULL, gen_random_uuid()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Код позиції. Сурогатний ключ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sector_id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UUID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FK → sector, 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Код сектора. Сектор розміщення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code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VARCHAR(10)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UNIQUE, 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Умовний номер. Наприклад «П-07»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status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position_status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NULL, DEFAULT 'активна'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Стан позиції. Значення переліку position_status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lat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DECIMAL(9,6)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Широта. Градуси WGS 84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lon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DECIMAL(9,6)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Довгота. Градуси WGS 84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engagement_radius_m</w:t>
            </w:r>
          </w:p>
        </w:tc>
        <w:tc>
          <w:tcPr>
            <w:tcW w:type="dxa" w:w="198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INTEGER</w:t>
            </w:r>
          </w:p>
        </w:tc>
        <w:tc>
          <w:tcPr>
            <w:tcW w:type="dxa" w:w="2514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</w:t>
            </w:r>
          </w:p>
        </w:tc>
        <w:tc>
          <w:tcPr>
            <w:tcW w:type="dxa" w:w="274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Радіус дії. м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Таблиця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crew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(«Розрахунок») — розрахунки перехоплювачів і їх готовність. Обсяг: 18 записів; заповнює: старший розрахунку. Структуру наведено в табл. 1.16.</w:t>
      </w:r>
    </w:p>
    <w:p>
      <w:pPr>
        <w:keepNext/>
        <w:pageBreakBefore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1.16 — Структура таблиці crew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rPr>
          <w:tblHeader w:val="true"/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Стовпець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Тип даних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Обмеження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Опис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crew_id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UUID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PK, NOT NULL, gen_random_uuid()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Код розрахунку. Сурогатний ключ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position_id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UUID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FK → position, 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Код позиції. Поточна позиція розрахунку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call_sign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VARCHAR(20)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UNIQUE, 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Позивний. Наприклад «Беркут-3»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status</w:t>
            </w:r>
          </w:p>
        </w:tc>
        <w:tc>
          <w:tcPr>
            <w:tcW w:type="dxa" w:w="198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crew_status</w:t>
            </w:r>
          </w:p>
        </w:tc>
        <w:tc>
          <w:tcPr>
            <w:tcW w:type="dxa" w:w="2514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NULL, DEFAULT 'недоступний'</w:t>
            </w:r>
          </w:p>
        </w:tc>
        <w:tc>
          <w:tcPr>
            <w:tcW w:type="dxa" w:w="274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Стан готовності. Значення переліку crew_status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Таблиця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personnel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(«Користувач») — особовий склад — користувачі системи. Обсяг: 160 записів; заповнює: адміністратор. Структуру наведено в табл. 1.17.</w:t>
      </w:r>
    </w:p>
    <w:p>
      <w:pPr>
        <w:keepNext/>
        <w:pageBreakBefore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1.17 — Структура таблиці personnel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rPr>
          <w:tblHeader w:val="true"/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Стовпець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Тип даних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Обмеження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Опис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user_id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UUID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PK, NOT NULL, gen_random_uuid()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Код користувача. Сурогатний ключ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role_id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SMALLINT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FK → role, 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Код ролі. Роль у системі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crew_id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UUID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FK → crew,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Код розрахунку. Заповнюється лише для членів розрахунків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full_name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VARCHAR(150)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Прізвище, ім’я, по батькові. Повне ім’я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rank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VARCHAR(40)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Звання. Військове звання або посада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login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VARCHAR(40)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UNIQUE, 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Логін. Ім’я облікового запису OIDC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mfa_enabled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BOOLEAN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NULL, DEFAULT true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Двофакторна автентифікація. Ознака увімкнення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admission_valid_to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DATE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Допуск дійсний до. Дата закінчення допуску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status</w:t>
            </w:r>
          </w:p>
        </w:tc>
        <w:tc>
          <w:tcPr>
            <w:tcW w:type="dxa" w:w="198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personnel_status</w:t>
            </w:r>
          </w:p>
        </w:tc>
        <w:tc>
          <w:tcPr>
            <w:tcW w:type="dxa" w:w="2514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NULL, DEFAULT 'активний'</w:t>
            </w:r>
          </w:p>
        </w:tc>
        <w:tc>
          <w:tcPr>
            <w:tcW w:type="dxa" w:w="274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Стан облікового запису. Значення переліку personnel_status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Таблиця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interceptor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(«Перехоплювач») — екземпляри дронів-перехоплювачів та їх стан. Обсяг: 300 записів; заповнює: логіст (облік), технік (стан). Структуру наведено в табл. 1.18. Обмеження рівня таблиці: CHECK (flight_count &gt;= 0).</w:t>
      </w:r>
    </w:p>
    <w:p>
      <w:pPr>
        <w:keepNext/>
        <w:pageBreakBefore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1.18 — Структура таблиці interceptor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rPr>
          <w:tblHeader w:val="true"/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Стовпець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Тип даних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Обмеження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Опис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interceptor_id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UUID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PK, NOT NULL, gen_random_uuid()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Код перехоплювача. Сурогатний ключ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model_id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SMALLINT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FK → interceptor_model, 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Код моделі. Модель перехоплювача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position_id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UUID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FK → position,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Код позиції. Поточне місце зберігання; порожнє — склад центру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serial_no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VARCHAR(40)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UNIQUE, 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Серійний номер. Наприклад «ПХ-01187»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state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interceptor_state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NULL, DEFAULT 'на складі'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Стан. Значення переліку interceptor_state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firmware_version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VARCHAR(20)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Версія прошивки. Рядок версії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flight_count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INTEGER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NULL, DEFAULT 0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Кількість вильотів. Лічильник для багаторазових моделей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received_at</w:t>
            </w:r>
          </w:p>
        </w:tc>
        <w:tc>
          <w:tcPr>
            <w:tcW w:type="dxa" w:w="198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DATE</w:t>
            </w:r>
          </w:p>
        </w:tc>
        <w:tc>
          <w:tcPr>
            <w:tcW w:type="dxa" w:w="2514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</w:t>
            </w:r>
          </w:p>
        </w:tc>
        <w:tc>
          <w:tcPr>
            <w:tcW w:type="dxa" w:w="274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Дата надходження. Дата постановки на облік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pStyle w:val="829"/>
        <w:keepNext/>
        <w:pageBreakBefore w:val="0"/>
        <w:widowControl/>
        <w:spacing w:line="360" w:lineRule="auto" w:before="12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/>
          <w:color w:val="000000"/>
          <w:sz w:val="28"/>
        </w:rPr>
        <w:t>5.4.3. Операційні таблиці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Таблиця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air_track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(«Повітряний трек») — повітряні цілі: стан, належність, оцінка загрози. Обсяг: ≈ 600 / добу записів; заповнює: ioT-ядро (злиття), аналітик (класифікація). Структуру наведено в табл. 1.19. Обмеження рівня таблиці: UNIQUE (track_number, track_date); CHECK (threat_score BETWEEN 0 AND 100); CHECK (last_update_at &gt;= first_seen_at).</w:t>
      </w:r>
    </w:p>
    <w:p>
      <w:pPr>
        <w:keepNext/>
        <w:pageBreakBefore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1.19 — Структура таблиці air_track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rPr>
          <w:tblHeader w:val="true"/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Стовпець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Тип даних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Обмеження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Опис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track_id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UUID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PK, NOT NULL, gen_random_uuid()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Код треку. Сурогатний ключ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track_number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VARCHAR(12)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Номер треку. Наприклад «ЩП-0412»; унікальний у межах доби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track_date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DATE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NULL, DEFAULT CURRENT_DATE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Дата треку. Доба, у межах якої діє номер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state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track_state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NULL, DEFAULT 'попередній'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Стан треку. Значення переліку track_state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identity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air_track_identity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NULL, DEFAULT 'невідома'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Належність. Значення переліку air_track_identity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target_type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VARCHAR(40)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Тип цілі. Клас цілі після класифікації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threat_score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DECIMAL(5,2)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NULL, DEFAULT 0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Оцінка загрози. 0–100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predicted_object_id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UUID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FK → protected_object,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Прогнозований об’єкт. Об’єкт прикриття, до якого прямує ціль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eta_s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INTEGER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Час підльоту. с до прогнозованого об’єкта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classified_by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UUID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FK → personnel,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Хто класифікував. Аналітик, що підтвердив класифікацію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first_seen_at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TIMESTAMPTZ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Перше виявлення. Час першого виявлення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last_update_at</w:t>
            </w:r>
          </w:p>
        </w:tc>
        <w:tc>
          <w:tcPr>
            <w:tcW w:type="dxa" w:w="198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TIMESTAMPTZ</w:t>
            </w:r>
          </w:p>
        </w:tc>
        <w:tc>
          <w:tcPr>
            <w:tcW w:type="dxa" w:w="2514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</w:t>
            </w:r>
          </w:p>
        </w:tc>
        <w:tc>
          <w:tcPr>
            <w:tcW w:type="dxa" w:w="274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Останнє оновлення. Час останнього оновлення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Таблиця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detection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(«Виявлення») — первинні виявлення, отримані від сенсорів. Обсяг: ≈ 50 000 / добу записів; заповнює: периферійний шлюз (автоматично). Структуру наведено в табл. 1.20. Обмеження рівня таблиці: CHECK (confidence BETWEEN 0 AND 1); CHECK (bearing_deg IS NULL OR bearing_deg BETWEEN 0 AND 360); CHECK (received_at &gt;= detected_at).</w:t>
      </w:r>
    </w:p>
    <w:p>
      <w:pPr>
        <w:keepNext/>
        <w:pageBreakBefore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1.20 — Структура таблиці detection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rPr>
          <w:tblHeader w:val="true"/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Стовпець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Тип даних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Обмеження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Опис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detection_id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BIGINT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PK, NOT NULL, IDENTITY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Код виявлення. Сурогатний ключ (послідовність)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sensor_id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UUID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FK → sensor, 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Код сенсора. Джерело виявлення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track_id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UUID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FK → air_track,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Код треку. Порожнє, доки виявлення не зіставлено з треком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detected_at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TIMESTAMPTZ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Час виявлення. UTC, з точністю до мілісекунд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received_at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TIMESTAMPTZ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NULL, DEFAULT now()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Час надходження. Момент запису в ядро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lat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DECIMAL(9,6)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Широта. Порожнє для пеленгаційних сенсорів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lon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DECIMAL(9,6)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Довгота. Порожнє для пеленгаційних сенсорів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bearing_deg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DECIMAL(5,2)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Пеленг. Градуси, 0–360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altitude_m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DECIMAL(7,1)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Висота. м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speed_mps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DECIMAL(6,1)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Швидкість. м/с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signature_class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VARCHAR(50)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Клас сигнатури. Результат первинного розпізнавання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confidence</w:t>
            </w:r>
          </w:p>
        </w:tc>
        <w:tc>
          <w:tcPr>
            <w:tcW w:type="dxa" w:w="198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DECIMAL(3,2)</w:t>
            </w:r>
          </w:p>
        </w:tc>
        <w:tc>
          <w:tcPr>
            <w:tcW w:type="dxa" w:w="2514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</w:t>
            </w:r>
          </w:p>
        </w:tc>
        <w:tc>
          <w:tcPr>
            <w:tcW w:type="dxa" w:w="274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Достовірність. 0,00–1,00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Таблиця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mission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(«Місія») — бойові завдання на перехоплення та їх життєвий цикл. Обсяг: ≈ 400 / міс. записів; заповнює: офіцер бойового управління, розрахунок. Структуру наведено в табл. 1.21. Обмеження рівня таблиці: CHECK (approved_by IS NULL OR approved_by &lt;&gt; proposed_by); CHECK (approved_at IS NULL OR approved_at &gt;= proposed_at); CHECK (launched_at IS NULL OR approved_at IS NOT NULL); CHECK (state &lt;&gt; 'скасована' OR abort_reason IS NOT NULL).</w:t>
      </w:r>
    </w:p>
    <w:p>
      <w:pPr>
        <w:keepNext/>
        <w:pageBreakBefore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1.21 — Структура таблиці mission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rPr>
          <w:tblHeader w:val="true"/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Стовпець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Тип даних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Обмеження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Опис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mission_id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UUID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PK, NOT NULL, gen_random_uuid()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Код місії. Сурогатний ключ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mission_no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VARCHAR(16)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UNIQUE, 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Номер місії. Наприклад «М-0412-01»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track_id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UUID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FK → air_track, 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Код треку. Ціль місії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crew_id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UUID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FK → crew, 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Код розрахунку. Призначений розрахунок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interceptor_id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UUID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FK → interceptor,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Код перехоплювача. Заповнюється під час пуску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proposed_by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UUID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FK → personnel, 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Хто запропонував. Автор пропозиції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approved_by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UUID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FK → personnel,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Хто санкціонував. Офіцер, що санкціонував пуск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state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mission_state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NULL, DEFAULT 'запропонована'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Стан місії. Значення переліку mission_state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proposed_at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TIMESTAMPTZ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NULL, DEFAULT now()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Час пропозиції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approved_at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TIMESTAMPTZ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Час санкції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launched_at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TIMESTAMPTZ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Час пуску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closed_at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TIMESTAMPTZ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Час закриття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abort_reason</w:t>
            </w:r>
          </w:p>
        </w:tc>
        <w:tc>
          <w:tcPr>
            <w:tcW w:type="dxa" w:w="198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VARCHAR(200)</w:t>
            </w:r>
          </w:p>
        </w:tc>
        <w:tc>
          <w:tcPr>
            <w:tcW w:type="dxa" w:w="2514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NULL</w:t>
            </w:r>
          </w:p>
        </w:tc>
        <w:tc>
          <w:tcPr>
            <w:tcW w:type="dxa" w:w="274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Причина скасування. Обов’язкова для стану «скасована»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Таблиця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mission_event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(«Подія місії») — хронологія подій кожної місії. Обсяг: ≈ 6 000 / міс. записів; заповнює: ioT-ядро, оператори. Структуру наведено в табл. 1.22.</w:t>
      </w:r>
    </w:p>
    <w:p>
      <w:pPr>
        <w:keepNext/>
        <w:pageBreakBefore w:val="0"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1.22 — Структура таблиці mission_event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rPr>
          <w:tblHeader w:val="true"/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Стовпець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Тип даних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Обмеження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Опис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event_id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BIGINT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PK, NOT NULL, IDENTITY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Код події. Сурогатний ключ (послідовність)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mission_id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UUID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FK → mission, 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Код місії. Місія, до якої належить подія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event_type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mission_event_type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Тип події. Значення переліку mission_event_type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event_at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TIMESTAMPTZ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NULL, DEFAULT now()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Час події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actor_id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UUID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FK → personnel,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Хто ініціював. Порожнє для системних подій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payload</w:t>
            </w:r>
          </w:p>
        </w:tc>
        <w:tc>
          <w:tcPr>
            <w:tcW w:type="dxa" w:w="198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JSONB</w:t>
            </w:r>
          </w:p>
        </w:tc>
        <w:tc>
          <w:tcPr>
            <w:tcW w:type="dxa" w:w="2514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NULL</w:t>
            </w:r>
          </w:p>
        </w:tc>
        <w:tc>
          <w:tcPr>
            <w:tcW w:type="dxa" w:w="274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Дані події. Попередній і новий стан, параметри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Таблиця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telemetry_frame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(«Кадр телеметрії») — телеметрія перехоплювача під час місії. Обсяг: ≈ 120 000 / міс. записів; заповнює: наземна станція (автоматично, 2 Гц). Структуру наведено в табл. 1.23. Обмеження рівня таблиці: CHECK (battery_pct BETWEEN 0 AND 100); CHECK (link_quality_pct BETWEEN 0 AND 100).</w:t>
      </w:r>
    </w:p>
    <w:p>
      <w:pPr>
        <w:keepNext/>
        <w:pageBreakBefore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1.23 — Структура таблиці telemetry_frame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rPr>
          <w:tblHeader w:val="true"/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Стовпець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Тип даних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Обмеження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Опис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interceptor_id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UUID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PK (складений), FK → interceptor, 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Код перехоплювача. Джерело кадру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ts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TIMESTAMPTZ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PK (складений), 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Час кадру. UTC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mission_id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UUID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FK → mission, 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Код місії. Місія, під час якої отримано кадр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lat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DECIMAL(9,6)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Широта. Градуси WGS 84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lon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DECIMAL(9,6)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Довгота. Градуси WGS 84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alt_m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DECIMAL(7,1)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Висота. м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ground_speed_mps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DECIMAL(5,1)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Шляхова швидкість. м/с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battery_pct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SMALLINT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Заряд батареї. %, 0–100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link_quality_pct</w:t>
            </w:r>
          </w:p>
        </w:tc>
        <w:tc>
          <w:tcPr>
            <w:tcW w:type="dxa" w:w="198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SMALLINT</w:t>
            </w:r>
          </w:p>
        </w:tc>
        <w:tc>
          <w:tcPr>
            <w:tcW w:type="dxa" w:w="2514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NULL</w:t>
            </w:r>
          </w:p>
        </w:tc>
        <w:tc>
          <w:tcPr>
            <w:tcW w:type="dxa" w:w="274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Якість зв’язку. %, 0–100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Таблиця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engagement_report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(«Звіт про перехоплення») — оцінка результату завершеної місії. Обсяг: ≈ 380 / міс. записів; заповнює: старший розрахунку. Структуру наведено в табл. 1.24.</w:t>
      </w:r>
    </w:p>
    <w:p>
      <w:pPr>
        <w:keepNext/>
        <w:pageBreakBefore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1.24 — Структура таблиці engagement_report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rPr>
          <w:tblHeader w:val="true"/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Стовпець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Тип даних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Обмеження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Опис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report_id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UUID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PK, NOT NULL, gen_random_uuid()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Код звіту. Сурогатний ключ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mission_id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UUID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FK → mission, UNIQUE, 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Код місії. Одна місія — не більше одного звіту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assessment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engagement_assessment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Оцінка результату. Значення переліку engagement_assessment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evidence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JSONB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Підтвердження. Посилання на відео та підтвердження сенсорів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submitted_by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UUID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FK → personnel, 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Хто подав. Автор звіту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submitted_at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TIMESTAMPTZ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NULL, DEFAULT now()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Час подання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sent_to_higher_at</w:t>
            </w:r>
          </w:p>
        </w:tc>
        <w:tc>
          <w:tcPr>
            <w:tcW w:type="dxa" w:w="198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TIMESTAMPTZ</w:t>
            </w:r>
          </w:p>
        </w:tc>
        <w:tc>
          <w:tcPr>
            <w:tcW w:type="dxa" w:w="2514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NULL</w:t>
            </w:r>
          </w:p>
        </w:tc>
        <w:tc>
          <w:tcPr>
            <w:tcW w:type="dxa" w:w="274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Час надсилання вищому органу. Порожнє — ще не надіслано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Таблиця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audit_log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(«Запис журналу аудиту») — незмінний журнал дій користувачів, сервісів і пристроїв. Обсяг: ≈ 300 000 / міс. записів; заповнює: усі модулі (автоматично). Структуру наведено в табл. 1.25.</w:t>
      </w:r>
    </w:p>
    <w:p>
      <w:pPr>
        <w:keepNext/>
        <w:pageBreakBefore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1.25 — Структура таблиці audit_log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rPr>
          <w:tblHeader w:val="true"/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Стовпець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Тип даних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Обмеження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Опис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entry_id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BIGINT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PK, NOT NULL, IDENTITY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Код запису. Сурогатний ключ (послідовність)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logged_at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TIMESTAMPTZ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NULL, DEFAULT now()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Час запису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actor_id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UUID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FK → personnel,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Користувач. Порожнє, якщо діяв сервіс або пристрій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actor_type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actor_type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Тип суб’єкта. Значення переліку actor_type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action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VARCHAR(80)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Дія. Код операції, наприклад «mission.approve»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entity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VARCHAR(40)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Таблиця об’єкта. Ім’я таблиці, до запису якої застосовано дію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entity_id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VARCHAR(40)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NOT 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Ідентифікатор об’єкта. Значення первинного ключа запису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details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JSONB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Деталі. Значення до і після зміни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prev_hash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CHAR(64)</w:t>
            </w:r>
          </w:p>
        </w:tc>
        <w:tc>
          <w:tcPr>
            <w:tcW w:type="dxa" w:w="251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NULL</w:t>
            </w:r>
          </w:p>
        </w:tc>
        <w:tc>
          <w:tcPr>
            <w:tcW w:type="dxa" w:w="27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Хеш попереднього запису. SHA-256, шістнадцятковий запис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hash</w:t>
            </w:r>
          </w:p>
        </w:tc>
        <w:tc>
          <w:tcPr>
            <w:tcW w:type="dxa" w:w="198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CHAR(64)</w:t>
            </w:r>
          </w:p>
        </w:tc>
        <w:tc>
          <w:tcPr>
            <w:tcW w:type="dxa" w:w="2514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UNIQUE, NOT NULL</w:t>
            </w:r>
          </w:p>
        </w:tc>
        <w:tc>
          <w:tcPr>
            <w:tcW w:type="dxa" w:w="274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Хеш запису. SHA-256 від даних запису та prev_hash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pStyle w:val="828"/>
        <w:keepNext/>
        <w:pageBreakBefore w:val="0"/>
        <w:widowControl/>
        <w:spacing w:line="360" w:lineRule="auto" w:before="120" w:after="120"/>
        <w:ind w:firstLine="709" w:left="0"/>
        <w:jc w:val="left"/>
      </w:pPr>
      <w:bookmarkStart w:id="20" w:name="_Toc000020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Індекси</w:t>
      </w:r>
      <w:bookmarkEnd w:id="20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Крім індексів, які СКБД автоматично створює для первинних ключів і обмежень UNIQUE, фізична модель містить 10 індексів для типових запитів (табл. 1.26). Індекс ix_air_track_active є частковим: він охоплює лише активні треки, тому залишається малим, хоча таблиця накопичує тисячі закритих треків.</w:t>
      </w:r>
    </w:p>
    <w:p>
      <w:pPr>
        <w:keepNext/>
        <w:pageBreakBefore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1.26 — Індекси фізичної моделі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rPr>
          <w:tblHeader w:val="true"/>
          <w:cantSplit w:val="true"/>
        </w:trPr>
        <w:tc>
          <w:tcPr>
            <w:tcW w:type="dxa" w:w="25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Індекс</w:t>
            </w:r>
          </w:p>
        </w:tc>
        <w:tc>
          <w:tcPr>
            <w:tcW w:type="dxa" w:w="280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Таблиця (стовпці)</w:t>
            </w:r>
          </w:p>
        </w:tc>
        <w:tc>
          <w:tcPr>
            <w:tcW w:type="dxa" w:w="397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Призначення</w:t>
            </w:r>
          </w:p>
        </w:tc>
      </w:tr>
      <w:tr>
        <w:trPr>
          <w:cantSplit w:val="true"/>
        </w:trPr>
        <w:tc>
          <w:tcPr>
            <w:tcW w:type="dxa" w:w="25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ix_detection_sensor_time</w:t>
            </w:r>
          </w:p>
        </w:tc>
        <w:tc>
          <w:tcPr>
            <w:tcW w:type="dxa" w:w="280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detection (sensor_id, detected_at DESC)</w:t>
            </w:r>
          </w:p>
        </w:tc>
        <w:tc>
          <w:tcPr>
            <w:tcW w:type="dxa" w:w="397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Вибірка останніх виявлень сенсора, контроль його працездатності</w:t>
            </w:r>
          </w:p>
        </w:tc>
      </w:tr>
      <w:tr>
        <w:trPr>
          <w:cantSplit w:val="true"/>
        </w:trPr>
        <w:tc>
          <w:tcPr>
            <w:tcW w:type="dxa" w:w="25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ix_detection_track</w:t>
            </w:r>
          </w:p>
        </w:tc>
        <w:tc>
          <w:tcPr>
            <w:tcW w:type="dxa" w:w="280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detection (track_id)</w:t>
            </w:r>
          </w:p>
        </w:tc>
        <w:tc>
          <w:tcPr>
            <w:tcW w:type="dxa" w:w="397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Перелік виявлень, що сформували трек</w:t>
            </w:r>
          </w:p>
        </w:tc>
      </w:tr>
      <w:tr>
        <w:trPr>
          <w:cantSplit w:val="true"/>
        </w:trPr>
        <w:tc>
          <w:tcPr>
            <w:tcW w:type="dxa" w:w="25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ix_air_track_active</w:t>
            </w:r>
          </w:p>
        </w:tc>
        <w:tc>
          <w:tcPr>
            <w:tcW w:type="dxa" w:w="280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air_track (threat_score DESC)</w:t>
            </w:r>
          </w:p>
        </w:tc>
        <w:tc>
          <w:tcPr>
            <w:tcW w:type="dxa" w:w="397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Черга загроз: лише активні треки (частковий індекс WHERE state IN ('підтверджений', 'класифікований', 'перехоплюється'))</w:t>
            </w:r>
          </w:p>
        </w:tc>
      </w:tr>
      <w:tr>
        <w:trPr>
          <w:cantSplit w:val="true"/>
        </w:trPr>
        <w:tc>
          <w:tcPr>
            <w:tcW w:type="dxa" w:w="25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ix_mission_track</w:t>
            </w:r>
          </w:p>
        </w:tc>
        <w:tc>
          <w:tcPr>
            <w:tcW w:type="dxa" w:w="280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mission (track_id)</w:t>
            </w:r>
          </w:p>
        </w:tc>
        <w:tc>
          <w:tcPr>
            <w:tcW w:type="dxa" w:w="397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Місії за ціллю, контроль повторного призначення</w:t>
            </w:r>
          </w:p>
        </w:tc>
      </w:tr>
      <w:tr>
        <w:trPr>
          <w:cantSplit w:val="true"/>
        </w:trPr>
        <w:tc>
          <w:tcPr>
            <w:tcW w:type="dxa" w:w="25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ix_mission_crew_state</w:t>
            </w:r>
          </w:p>
        </w:tc>
        <w:tc>
          <w:tcPr>
            <w:tcW w:type="dxa" w:w="280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mission (crew_id, state)</w:t>
            </w:r>
          </w:p>
        </w:tc>
        <w:tc>
          <w:tcPr>
            <w:tcW w:type="dxa" w:w="397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Поточні завдання розрахунку</w:t>
            </w:r>
          </w:p>
        </w:tc>
      </w:tr>
      <w:tr>
        <w:trPr>
          <w:cantSplit w:val="true"/>
        </w:trPr>
        <w:tc>
          <w:tcPr>
            <w:tcW w:type="dxa" w:w="25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ix_mission_event_mission</w:t>
            </w:r>
          </w:p>
        </w:tc>
        <w:tc>
          <w:tcPr>
            <w:tcW w:type="dxa" w:w="280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mission_event (mission_id, event_at)</w:t>
            </w:r>
          </w:p>
        </w:tc>
        <w:tc>
          <w:tcPr>
            <w:tcW w:type="dxa" w:w="397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Хронологія місії</w:t>
            </w:r>
          </w:p>
        </w:tc>
      </w:tr>
      <w:tr>
        <w:trPr>
          <w:cantSplit w:val="true"/>
        </w:trPr>
        <w:tc>
          <w:tcPr>
            <w:tcW w:type="dxa" w:w="25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ix_telemetry_mission</w:t>
            </w:r>
          </w:p>
        </w:tc>
        <w:tc>
          <w:tcPr>
            <w:tcW w:type="dxa" w:w="280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telemetry_frame (mission_id, ts)</w:t>
            </w:r>
          </w:p>
        </w:tc>
        <w:tc>
          <w:tcPr>
            <w:tcW w:type="dxa" w:w="397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Траєкторія перехоплювача в межах місії</w:t>
            </w:r>
          </w:p>
        </w:tc>
      </w:tr>
      <w:tr>
        <w:trPr>
          <w:cantSplit w:val="true"/>
        </w:trPr>
        <w:tc>
          <w:tcPr>
            <w:tcW w:type="dxa" w:w="25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ix_personnel_role</w:t>
            </w:r>
          </w:p>
        </w:tc>
        <w:tc>
          <w:tcPr>
            <w:tcW w:type="dxa" w:w="280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personnel (role_id)</w:t>
            </w:r>
          </w:p>
        </w:tc>
        <w:tc>
          <w:tcPr>
            <w:tcW w:type="dxa" w:w="397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Перелік користувачів ролі</w:t>
            </w:r>
          </w:p>
        </w:tc>
      </w:tr>
      <w:tr>
        <w:trPr>
          <w:cantSplit w:val="true"/>
        </w:trPr>
        <w:tc>
          <w:tcPr>
            <w:tcW w:type="dxa" w:w="25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ix_audit_entity</w:t>
            </w:r>
          </w:p>
        </w:tc>
        <w:tc>
          <w:tcPr>
            <w:tcW w:type="dxa" w:w="280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audit_log (entity, entity_id)</w:t>
            </w:r>
          </w:p>
        </w:tc>
        <w:tc>
          <w:tcPr>
            <w:tcW w:type="dxa" w:w="397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Історія змін конкретного запису</w:t>
            </w:r>
          </w:p>
        </w:tc>
      </w:tr>
      <w:tr>
        <w:trPr>
          <w:cantSplit w:val="true"/>
        </w:trPr>
        <w:tc>
          <w:tcPr>
            <w:tcW w:type="dxa" w:w="2572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ix_audit_time</w:t>
            </w:r>
          </w:p>
        </w:tc>
        <w:tc>
          <w:tcPr>
            <w:tcW w:type="dxa" w:w="2806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audit_log (logged_at)</w:t>
            </w:r>
          </w:p>
        </w:tc>
        <w:tc>
          <w:tcPr>
            <w:tcW w:type="dxa" w:w="3976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Вибірка журналу за період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pStyle w:val="828"/>
        <w:keepNext/>
        <w:pageBreakBefore w:val="0"/>
        <w:widowControl/>
        <w:spacing w:line="360" w:lineRule="auto" w:before="120" w:after="120"/>
        <w:ind w:firstLine="709" w:left="0"/>
        <w:jc w:val="left"/>
      </w:pPr>
      <w:bookmarkStart w:id="21" w:name="_Toc000021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SQL-скрипт створення бази даних і перевірка моделі</w:t>
      </w:r>
      <w:bookmarkEnd w:id="21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Фізичну модель, діаграми та таблиці опису полів сформовано з одного опису моделі, тому вони узгоджені між собою. З того самого опису згенеровано SQL-скрипт schema.sql: розширення pgcrypto, 14 операторів CREATE TYPE, 18 операторів CREATE TABLE у порядку залежностей (таблиця, на яку посилається зовнішній ключ, створюється раніше), 10 операторів CREATE INDEX і коментарі до таблиць. Фрагмент скрипту для таблиці mission наведено на рис. 1.10.</w:t>
      </w: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5220000" cy="631018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ddl_miss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310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1.10 — Фрагмент SQL-скрипту: перелічуваний тип mission_state і таблиця mission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Скрипт виконано в СКБД PostgreSQL 18.6 без помилок; системний каталог підтвердив 18 таблиць, 26 зовнішніх ключів і 23 обмежень CHECK. Після вставлення тестових записів (сектор, сенсор, позиція, розрахунок, дві ролі, два користувачі, трек, місія) перевірено, що обмеження цілісності працюють так, як задумано в логічній моделі (табл. 1.27).</w:t>
      </w:r>
    </w:p>
    <w:p>
      <w:pPr>
        <w:keepNext/>
        <w:pageBreakBefore w:val="0"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1.27 — Перевірка обмежень цілісності фізичної моделі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rPr>
          <w:tblHeader w:val="true"/>
          <w:cantSplit w:val="true"/>
        </w:trPr>
        <w:tc>
          <w:tcPr>
            <w:tcW w:type="dxa" w:w="46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79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Перевірка</w:t>
            </w:r>
          </w:p>
        </w:tc>
        <w:tc>
          <w:tcPr>
            <w:tcW w:type="dxa" w:w="204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Очікуваний результат</w:t>
            </w:r>
          </w:p>
        </w:tc>
        <w:tc>
          <w:tcPr>
            <w:tcW w:type="dxa" w:w="204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Фактичний результат</w:t>
            </w:r>
          </w:p>
        </w:tc>
      </w:tr>
      <w:tr>
        <w:trPr>
          <w:cantSplit w:val="true"/>
        </w:trPr>
        <w:tc>
          <w:tcPr>
            <w:tcW w:type="dxa" w:w="46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479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Санкція місії тим самим користувачем, що її запропонував (правило двох осіб)</w:t>
            </w:r>
          </w:p>
        </w:tc>
        <w:tc>
          <w:tcPr>
            <w:tcW w:type="dxa" w:w="204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відмова</w:t>
            </w:r>
          </w:p>
        </w:tc>
        <w:tc>
          <w:tcPr>
            <w:tcW w:type="dxa" w:w="204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відмова</w:t>
            </w:r>
          </w:p>
        </w:tc>
      </w:tr>
      <w:tr>
        <w:trPr>
          <w:cantSplit w:val="true"/>
        </w:trPr>
        <w:tc>
          <w:tcPr>
            <w:tcW w:type="dxa" w:w="46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479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Санкція місії іншим користувачем</w:t>
            </w:r>
          </w:p>
        </w:tc>
        <w:tc>
          <w:tcPr>
            <w:tcW w:type="dxa" w:w="204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успіх</w:t>
            </w:r>
          </w:p>
        </w:tc>
        <w:tc>
          <w:tcPr>
            <w:tcW w:type="dxa" w:w="204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успіх</w:t>
            </w:r>
          </w:p>
        </w:tc>
      </w:tr>
      <w:tr>
        <w:trPr>
          <w:cantSplit w:val="true"/>
        </w:trPr>
        <w:tc>
          <w:tcPr>
            <w:tcW w:type="dxa" w:w="46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479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Скасування місії без зазначення причини</w:t>
            </w:r>
          </w:p>
        </w:tc>
        <w:tc>
          <w:tcPr>
            <w:tcW w:type="dxa" w:w="204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відмова</w:t>
            </w:r>
          </w:p>
        </w:tc>
        <w:tc>
          <w:tcPr>
            <w:tcW w:type="dxa" w:w="204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відмова</w:t>
            </w:r>
          </w:p>
        </w:tc>
      </w:tr>
      <w:tr>
        <w:trPr>
          <w:cantSplit w:val="true"/>
        </w:trPr>
        <w:tc>
          <w:tcPr>
            <w:tcW w:type="dxa" w:w="46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479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Значення стану, якого немає в переліку mission_state</w:t>
            </w:r>
          </w:p>
        </w:tc>
        <w:tc>
          <w:tcPr>
            <w:tcW w:type="dxa" w:w="204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відмова</w:t>
            </w:r>
          </w:p>
        </w:tc>
        <w:tc>
          <w:tcPr>
            <w:tcW w:type="dxa" w:w="204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відмова</w:t>
            </w:r>
          </w:p>
        </w:tc>
      </w:tr>
      <w:tr>
        <w:trPr>
          <w:cantSplit w:val="true"/>
        </w:trPr>
        <w:tc>
          <w:tcPr>
            <w:tcW w:type="dxa" w:w="46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479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Перший звіт про перехоплення для місії</w:t>
            </w:r>
          </w:p>
        </w:tc>
        <w:tc>
          <w:tcPr>
            <w:tcW w:type="dxa" w:w="204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успіх</w:t>
            </w:r>
          </w:p>
        </w:tc>
        <w:tc>
          <w:tcPr>
            <w:tcW w:type="dxa" w:w="204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успіх</w:t>
            </w:r>
          </w:p>
        </w:tc>
      </w:tr>
      <w:tr>
        <w:trPr>
          <w:cantSplit w:val="true"/>
        </w:trPr>
        <w:tc>
          <w:tcPr>
            <w:tcW w:type="dxa" w:w="46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479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Другий звіт про ту саму місію</w:t>
            </w:r>
          </w:p>
        </w:tc>
        <w:tc>
          <w:tcPr>
            <w:tcW w:type="dxa" w:w="204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відмова</w:t>
            </w:r>
          </w:p>
        </w:tc>
        <w:tc>
          <w:tcPr>
            <w:tcW w:type="dxa" w:w="204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відмова</w:t>
            </w:r>
          </w:p>
        </w:tc>
      </w:tr>
      <w:tr>
        <w:trPr>
          <w:cantSplit w:val="true"/>
        </w:trPr>
        <w:tc>
          <w:tcPr>
            <w:tcW w:type="dxa" w:w="46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479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Виявлення з достовірністю 1,5</w:t>
            </w:r>
          </w:p>
        </w:tc>
        <w:tc>
          <w:tcPr>
            <w:tcW w:type="dxa" w:w="204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відмова</w:t>
            </w:r>
          </w:p>
        </w:tc>
        <w:tc>
          <w:tcPr>
            <w:tcW w:type="dxa" w:w="204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відмова</w:t>
            </w:r>
          </w:p>
        </w:tc>
      </w:tr>
      <w:tr>
        <w:trPr>
          <w:cantSplit w:val="true"/>
        </w:trPr>
        <w:tc>
          <w:tcPr>
            <w:tcW w:type="dxa" w:w="46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479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Повторний номер треку в межах тієї самої доби</w:t>
            </w:r>
          </w:p>
        </w:tc>
        <w:tc>
          <w:tcPr>
            <w:tcW w:type="dxa" w:w="204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відмова</w:t>
            </w:r>
          </w:p>
        </w:tc>
        <w:tc>
          <w:tcPr>
            <w:tcW w:type="dxa" w:w="204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відмова</w:t>
            </w:r>
          </w:p>
        </w:tc>
      </w:tr>
      <w:tr>
        <w:trPr>
          <w:cantSplit w:val="true"/>
        </w:trPr>
        <w:tc>
          <w:tcPr>
            <w:tcW w:type="dxa" w:w="46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4794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Видалення розрахунку, на який посилається місія</w:t>
            </w:r>
          </w:p>
        </w:tc>
        <w:tc>
          <w:tcPr>
            <w:tcW w:type="dxa" w:w="2046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відмова</w:t>
            </w:r>
          </w:p>
        </w:tc>
        <w:tc>
          <w:tcPr>
            <w:tcW w:type="dxa" w:w="2046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відмова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Усі дев’ять перевірок дали очікуваний результат: правило двох осіб, обов’язковість причини скасування, допустимі стани, відношення 1 : 0..1 між місією та звітом, діапазон достовірності, унікальність номера треку в межах доби та посилальна цілісність забезпечуються самою СКБД, незалежно від застосунку.</w:t>
      </w:r>
    </w:p>
    <w:p>
      <w:pPr>
        <w:pStyle w:val="827"/>
        <w:keepNext/>
        <w:pageBreakBefore/>
        <w:widowControl/>
        <w:spacing w:line="360" w:lineRule="auto" w:before="240" w:after="240"/>
        <w:ind w:firstLine="0" w:left="0"/>
        <w:jc w:val="center"/>
      </w:pPr>
      <w:bookmarkStart w:id="22" w:name="_Toc000022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ВИСНОВКИ</w:t>
      </w:r>
      <w:bookmarkEnd w:id="22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лабораторній роботі спроектовано базу даних IoT-платформи «Щит-Лінк» на трьох рівнях.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1) Контекстна модель визначила межі БД, вісім зовнішніх сутностей і потоки даних між ними та БД; для кожної сутності визначено таблиці, з якими вона працює, що є основою зовнішніх схем.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2) Логічна модель містить 18 сутностей (5 довідникових, 6 основних, 7 операційних) у чотирьох підсистемах і 26 зв’язків; модель нормалізовано до 3НФ, зв’язок «багато-до-багатьох» розкладено асоціативною сутністю.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3) Фізична модель для PostgreSQL описує 18 таблиць і 139 стовпців з типами даних, 14 перелічуваних типів, 23 обмежень CHECK і 10 індексів; SQL-скрипт виконано в СКБД PostgreSQL 18.6, а дев’ять перевірок підтвердили роботу обмежень цілісності.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Функціональні вимоги до програмної реалізації бази даних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(будуть реалізовані й проілюстровані в лабораторній роботі 2):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1) ФВ-БД-01. Створення БД виконанням скрипту schema.sql у PostgreSQL: перелічувані типи, 18 таблиць, обмеження, індекси, коментарі.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2) ФВ-БД-02. Наповнення БД тестовими даними: довідники — повним складом, основні таблиці — не менше 10 записів, операційні — не менше 20 записів кожна, з дотриманням зовнішніх ключів.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3) ФВ-БД-03. Операції CRUD (створення, читання, оновлення, видалення) для довідників і основних таблиць: секторів, об’єктів прикриття, сенсорів, позицій, розрахунків, моделей і екземплярів перехоплювачів, користувачів; відмова у видаленні запису, на який є посилання.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4) ФВ-БД-04. Реєстрація виявлення та його зіставлення з повітряним треком з оновленням часу останнього оновлення треку.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5) ФВ-БД-05. Запит «Черга загроз»: активні треки, впорядковані за оцінкою загрози, з прогнозованим об’єктом прикриття і часом підльоту.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6) ФВ-БД-06. Ведення життєвого циклу місії: пропозиція, санкція іншим користувачем (правило двох осіб), прийняття, пуск, закриття або скасування з причиною.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7) ФВ-БД-07. Тригер контролю допустимих переходів стану місії відповідно до діаграми станів і автоматичний запис кожної зміни стану до таблиці mission_event.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8) ФВ-БД-08. Реєстрація звіту про перехоплення (не більше одного на місію) з автоматичним оновленням стану та лічильника вильотів перехоплювача.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9) ФВ-БД-09. Представлення (VIEW) готовності ресурсів: розрахунки за позиціями та кількість готових перехоплювачів кожної позиції.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10) ФВ-БД-10. Аналітичні запити за період: кількість місій за результатами, частка влучань, середній час «пропозиція — санкція» і «санкція — пуск».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11) ФВ-БД-11. Журнал аудиту: тригерний запис змін у таблицях mission, personnel і role_permission з ланцюжком хешів SHA-256 та заборона змінення й видалення записів журналу.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12) ФВ-БД-12. Розмежування доступу засобами СКБД: ролі PostgreSQL для аналітика, офіцера бойового управління, розрахунку й адміністратора з правами GRANT відповідно до матриці «роль — право».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13) ФВ-БД-13. Резервне копіювання БД і відновлення з резервної копії засобами pg_dump і pg_restore.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Реалізація вимог ФВ-БД-01 — ФВ-БД-13 у лабораторній роботі 2 перетворить спроектовану модель на працюючу базу даних програмного продукту.</w:t>
      </w:r>
    </w:p>
    <w:p>
      <w:pPr>
        <w:pStyle w:val="827"/>
        <w:keepNext/>
        <w:pageBreakBefore/>
        <w:widowControl/>
        <w:spacing w:line="360" w:lineRule="auto" w:before="240" w:after="240"/>
        <w:ind w:firstLine="0" w:left="0"/>
        <w:jc w:val="center"/>
      </w:pPr>
      <w:bookmarkStart w:id="23" w:name="_Toc000023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СПИСОК ВИКОРИСТАНИХ ДЖЕРЕЛ</w:t>
      </w:r>
      <w:bookmarkEnd w:id="23"/>
    </w:p>
    <w:p>
      <w:pPr>
        <w:keepNext w:val="0"/>
        <w:widowControl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 Лабораторна робота 1. Опис бази даних : завдання з дисципліни «Технології створення програмних продуктів» / викл. О. В. Кравченко. Київ : КНУ імені Тараса Шевченка, 2026.</w:t>
      </w:r>
    </w:p>
    <w:p>
      <w:pPr>
        <w:keepNext w:val="0"/>
        <w:widowControl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 Кравченко П. Збір та документування вимог для програмного продукту : звіт з практичної роботи № 1 з дисципліни «Технології створення програмних продуктів». Київ : КНУ імені Тараса Шевченка, 2026. 42 с.</w:t>
      </w:r>
    </w:p>
    <w:p>
      <w:pPr>
        <w:keepNext w:val="0"/>
        <w:widowControl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 Кравченко П. Проектування системи : звіт з практичної роботи № 4 з дисципліни «Технології створення програмних продуктів». Київ : КНУ імені Тараса Шевченка, 2026. 43 с.</w:t>
      </w:r>
    </w:p>
    <w:p>
      <w:pPr>
        <w:keepNext w:val="0"/>
        <w:widowControl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 ДСТУ 3008:2015. Інформація та документація. Звіти у сфері науки і техніки. Структура та правила оформлювання. Київ : ДП «УкрНДНЦ», 2016. 26 с.</w:t>
      </w:r>
    </w:p>
    <w:p>
      <w:pPr>
        <w:keepNext w:val="0"/>
        <w:widowControl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 Поняття інформаційної системи та бази даних. Аналіз функціональної області впровадження ІС : лекція 3 з дисципліни «Технології створення програмних продуктів» / викл. О. В. Кравченко. Київ : КНУ імені Тараса Шевченка, 2026. 38 слайдів.</w:t>
      </w:r>
    </w:p>
    <w:p>
      <w:pPr>
        <w:keepNext w:val="0"/>
        <w:widowControl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 Карпенко М. Ю., Манакова Н. О., Гавриленко І. О. Технології створення програмних продуктів та інформаційних систем : навч. посібник. Харків : ХНУМГ ім. О. М. Бекетова, 2017. 93 с.</w:t>
      </w:r>
    </w:p>
    <w:p>
      <w:pPr>
        <w:keepNext w:val="0"/>
        <w:widowControl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 Information Engineering Diagrams / PlantUML. URL: https://plantuml.com/ie-diagram (дата звернення: 11.10.2026).</w:t>
      </w:r>
    </w:p>
    <w:p>
      <w:pPr>
        <w:keepNext w:val="0"/>
        <w:widowControl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8. Безносюк Д. IoT система забезпечення перевезень морським транспортом : кваліфікаційна робота бакалавра : спец. 126 «Інформаційні системи та технології» / керівник О. В. Кравченко. Київ : КНУ імені Тараса Шевченка, 2026. 101 с.</w:t>
      </w:r>
    </w:p>
    <w:p>
      <w:pPr>
        <w:keepNext w:val="0"/>
        <w:widowControl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9. Теми лабораторних робіт з дисципліни «Технології створення програмних продуктів». Київ : КНУ імені Тараса Шевченка, 2026. 2 с.</w:t>
      </w:r>
    </w:p>
    <w:p>
      <w:pPr>
        <w:keepNext w:val="0"/>
        <w:widowControl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10. 8.7. Enumerated Types. PostgreSQL 18 Documentation / The PostgreSQL Global Development Group. URL: https://www.postgresql.org/docs/18/datatype-enum.html (дата звернення: 11.10.2026).</w:t>
      </w:r>
    </w:p>
    <w:p>
      <w:pPr>
        <w:keepNext w:val="0"/>
        <w:widowControl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11. 8.14. JSON Types. PostgreSQL 18 Documentation / The PostgreSQL Global Development Group. URL: https://www.postgresql.org/docs/18/datatype-json.html (дата звернення: 11.10.2026).</w:t>
      </w:r>
    </w:p>
    <w:p>
      <w:pPr>
        <w:keepNext w:val="0"/>
        <w:widowControl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12. 9.14. UUID Functions. PostgreSQL 18 Documentation / The PostgreSQL Global Development Group. URL: https://www.postgresql.org/docs/18/functions-uuid.html (дата звернення: 11.10.2026).</w:t>
      </w:r>
    </w:p>
    <w:p>
      <w:pPr>
        <w:keepNext w:val="0"/>
        <w:widowControl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13. 5.5. Constraints. PostgreSQL 18 Documentation / The PostgreSQL Global Development Group. URL: https://www.postgresql.org/docs/18/ddl-constraints.html (дата звернення: 11.10.2026).</w:t>
      </w:r>
    </w:p>
    <w:p>
      <w:pPr>
        <w:keepNext w:val="0"/>
        <w:widowControl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14. Chapter 8. Data Types. PostgreSQL 18 Documentation / The PostgreSQL Global Development Group. URL: https://www.postgresql.org/docs/18/datatype.html (дата звернення: 11.10.2026).</w:t>
      </w:r>
    </w:p>
    <w:sectPr>
      <w:footnotePr/>
      <w:endnotePr/>
      <w:pgSz w:h="16838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widowControl/>
      <w:spacing w:line="240" w:lineRule="auto" w:before="0" w:after="0"/>
      <w:ind w:firstLine="0" w:left="0"/>
      <w:jc w:val="center"/>
    </w:pPr>
    <w:r>
      <w:rPr>
        <w:rFonts w:ascii="Times New Roman" w:hAnsi="Times New Roman" w:cs="Times New Roman" w:eastAsia="Times New Roman"/>
        <w:color w:val="000000"/>
        <w:sz w:val="24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Times New Roman" w:hAnsi="Times New Roman" w:cs="Times New Roman" w:eastAsia="Times New Roman"/>
      <w:b/>
      <w:color w:val="000000"/>
      <w:sz w:val="28"/>
      <w:szCs w:val="28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Times New Roman" w:hAnsi="Times New Roman" w:cs="Times New Roman" w:eastAsia="Times New Roman"/>
      <w:b/>
      <w:color w:val="000000"/>
      <w:sz w:val="28"/>
      <w:szCs w:val="28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Times New Roman" w:hAnsi="Times New Roman" w:cs="Times New Roman" w:eastAsia="Times New Roman"/>
      <w:b/>
      <w:color w:val="000000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  <w:rPr>
      <w:rFonts w:ascii="Times New Roman" w:hAnsi="Times New Roman" w:cs="Times New Roman" w:eastAsia="Times New Roman"/>
      <w:color w:val="000000"/>
      <w:sz w:val="28"/>
      <w:szCs w:val="28"/>
    </w:r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  <w:rPr>
      <w:rFonts w:ascii="Times New Roman" w:hAnsi="Times New Roman" w:cs="Times New Roman" w:eastAsia="Times New Roman"/>
      <w:color w:val="000000"/>
      <w:sz w:val="28"/>
      <w:szCs w:val="28"/>
    </w:r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footer" Target="footer1.xml"/><Relationship Id="rId9" Type="http://schemas.openxmlformats.org/officeDocument/2006/relationships/header" Target="head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header" Target="header2.xml"/><Relationship Id="rId13" Type="http://schemas.openxmlformats.org/officeDocument/2006/relationships/header" Target="header3.xml"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Петро Кравченко</dc:creator>
  <cp:revision>3</cp:revision>
  <dcterms:modified xsi:type="dcterms:W3CDTF">2026-10-04T07:49:50Z</dcterms:modified>
  <dc:title>Лабораторна робота №1. Опис бази даних</dc:title>
  <dc:subject>Технології створення програмних продуктів</dc:subject>
  <dc:language>uk-UA</dc:language>
</cp:coreProperties>
</file>