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119ED9">
      <w:pPr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МІНІСТЕРСТВО ОСВІТИ I НАУКИ УКРАЇНИ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24A9C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КИЇВСЬКИЙ НАЦІОНАЛЬНИЙ УНІВЕРСИТЕТ ІМЕНІ ТАРАСА ШЕВЧЕНКА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0A397E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ІНФОРМАЦІЙНИХ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AA494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ІНФОРМАЦІЙНИХ СИСТЕМ ТА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FFBB8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  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8A9E5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Лабораторна робота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E07F4D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Кібернетична безпека підприємства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905C1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1C88FC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sz w:val="28"/>
          <w:szCs w:val="28"/>
        </w:rPr>
        <w:t>Аналіз процесу управління ризиками кібернетичної безпеки військкомату (ТЦК та СП) за методикою CRAMM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222511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29217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CB31CD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 Виконав: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B43C91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 студент гр. ІР-31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84BA6D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Петро Кравченко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C4C0C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 Перевірив: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A42A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Зараховано від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A79749">
      <w:pPr>
        <w:pBdr/>
        <w:spacing/>
        <w:ind/>
        <w:jc w:val="righ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Борисенко Ірина Ігорівна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778369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___________________________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37E8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(підпис викладача)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CAD3C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86A18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Київ-2026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ectPr>
          <w:footerReference w:type="first" r:id="rId10"/>
          <w:footerReference w:type="default" r:id="rId11"/>
          <w:headerReference w:type="first" r:id="rId12"/>
          <w:headerReference w:type="default" r:id="rId13"/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  <w:titlePg/>
        </w:sectPr>
      </w:pPr>
    </w:p>
    <w:p>
      <w:pPr>
        <w:keepNext w:val="0"/>
        <w:widowControl/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ЗМІСТ</w:t>
      </w:r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000001" w:history="1">
        <w:r>
          <w:rPr>
            <w:rFonts w:ascii="Times New Roman" w:hAnsi="Times New Roman" w:cs="Times New Roman"/>
            <w:sz w:val="28"/>
            <w:szCs w:val="28"/>
          </w:rPr>
          <w:t xml:space="preserve">1. МЕТА ТА ЗАВДАННЯ РОБОТИ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2" w:history="1">
        <w:r>
          <w:rPr>
            <w:rFonts w:ascii="Times New Roman" w:hAnsi="Times New Roman" w:cs="Times New Roman"/>
            <w:sz w:val="28"/>
            <w:szCs w:val="28"/>
          </w:rPr>
          <w:t xml:space="preserve">2. ПОНЯТТЯ УПРАВЛІННЯ РИЗИКАМИ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_Toc000002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4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3" w:history="1">
        <w:r>
          <w:rPr>
            <w:rFonts w:ascii="Times New Roman" w:hAnsi="Times New Roman" w:cs="Times New Roman"/>
            <w:sz w:val="28"/>
            <w:szCs w:val="28"/>
          </w:rPr>
          <w:t xml:space="preserve">2.1. Ризик, загроза, вразливість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_Toc000003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4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4" w:history="1">
        <w:r>
          <w:rPr>
            <w:rFonts w:ascii="Times New Roman" w:hAnsi="Times New Roman" w:cs="Times New Roman"/>
            <w:sz w:val="28"/>
            <w:szCs w:val="28"/>
          </w:rPr>
          <w:t xml:space="preserve">2.2. Управління ризиками та способи обробки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_Toc000004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4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5" w:history="1">
        <w:r>
          <w:rPr>
            <w:rFonts w:ascii="Times New Roman" w:hAnsi="Times New Roman" w:cs="Times New Roman"/>
            <w:sz w:val="28"/>
            <w:szCs w:val="28"/>
          </w:rPr>
          <w:t xml:space="preserve">3. ПРОЦЕС УПРАВЛІННЯ РИЗИКАМИ НА ПІДПРИЄМСТВІ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_Toc000005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6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6" w:history="1">
        <w:r>
          <w:rPr>
            <w:rFonts w:ascii="Times New Roman" w:hAnsi="Times New Roman" w:cs="Times New Roman"/>
            <w:sz w:val="28"/>
            <w:szCs w:val="28"/>
          </w:rPr>
          <w:t xml:space="preserve">3.1. Етапи процесу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_Toc000006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6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7" w:history="1">
        <w:r>
          <w:rPr>
            <w:rFonts w:ascii="Times New Roman" w:hAnsi="Times New Roman" w:cs="Times New Roman"/>
            <w:sz w:val="28"/>
            <w:szCs w:val="28"/>
          </w:rPr>
          <w:t xml:space="preserve">3.2. Процесний підхід у методичних рекомендаціях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_Toc000007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7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8" w:history="1">
        <w:r>
          <w:rPr>
            <w:rFonts w:ascii="Times New Roman" w:hAnsi="Times New Roman" w:cs="Times New Roman"/>
            <w:sz w:val="28"/>
            <w:szCs w:val="28"/>
          </w:rPr>
          <w:t xml:space="preserve">4. МЕТОДОЛОГІЯ CRAMM ТА ЇЇ ЗАСТОСУВАННЯ ДО ТЦК ТА СП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_Toc000008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8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9" w:history="1">
        <w:r>
          <w:rPr>
            <w:rFonts w:ascii="Times New Roman" w:hAnsi="Times New Roman" w:cs="Times New Roman"/>
            <w:sz w:val="28"/>
            <w:szCs w:val="28"/>
          </w:rPr>
          <w:t xml:space="preserve">4.1. Загальна характеристика CRAMM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_Toc000009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8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0" w:history="1">
        <w:r>
          <w:rPr>
            <w:rFonts w:ascii="Times New Roman" w:hAnsi="Times New Roman" w:cs="Times New Roman"/>
            <w:sz w:val="28"/>
            <w:szCs w:val="28"/>
          </w:rPr>
          <w:t xml:space="preserve">4.2. Етапи CRAMM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_Toc000010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8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1" w:history="1">
        <w:r>
          <w:rPr>
            <w:rFonts w:ascii="Times New Roman" w:hAnsi="Times New Roman" w:cs="Times New Roman"/>
            <w:sz w:val="28"/>
            <w:szCs w:val="28"/>
          </w:rPr>
          <w:t xml:space="preserve">4.3. Етап 1: ідентифікація та оцінка активів ТЦК та СП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10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2" w:history="1">
        <w:r>
          <w:rPr>
            <w:rFonts w:ascii="Times New Roman" w:hAnsi="Times New Roman" w:cs="Times New Roman"/>
            <w:sz w:val="28"/>
            <w:szCs w:val="28"/>
          </w:rPr>
          <w:t xml:space="preserve">4.4. Етап 2: оцінка загроз, вразливостей і міри ризику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_Toc000012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3" w:history="1">
        <w:r>
          <w:rPr>
            <w:rFonts w:ascii="Times New Roman" w:hAnsi="Times New Roman" w:cs="Times New Roman"/>
            <w:sz w:val="28"/>
            <w:szCs w:val="28"/>
          </w:rPr>
          <w:t xml:space="preserve">4.5. Етап 3: вибір контрзаходів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_Toc000013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4" w:history="1">
        <w:r>
          <w:rPr>
            <w:rFonts w:ascii="Times New Roman" w:hAnsi="Times New Roman" w:cs="Times New Roman"/>
            <w:sz w:val="28"/>
            <w:szCs w:val="28"/>
          </w:rPr>
          <w:t xml:space="preserve">5. АСПЕКТИ УПРАВЛІНСЬКОЇ РОБОТИ ЩОДО ЗАБЕЗПЕЧЕННЯ ІБ У ТЦК ТА СП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_Toc000014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5" w:history="1">
        <w:r>
          <w:rPr>
            <w:rFonts w:ascii="Times New Roman" w:hAnsi="Times New Roman" w:cs="Times New Roman"/>
            <w:sz w:val="28"/>
            <w:szCs w:val="28"/>
          </w:rPr>
          <w:t xml:space="preserve">6. МЕТОДИКИ УПРАВЛІННЯ РИЗИКАМИ ДЛЯ ТЦК ТА СП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_Toc000015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18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6" w:history="1">
        <w:r>
          <w:rPr>
            <w:rFonts w:ascii="Times New Roman" w:hAnsi="Times New Roman" w:cs="Times New Roman"/>
            <w:sz w:val="28"/>
            <w:szCs w:val="28"/>
          </w:rPr>
          <w:t xml:space="preserve">7. ПЕРЕВАГИ ТА НЕДОЛІКИ МЕТОДИК УПРАВЛІННЯ РИЗИКАМИ ІБ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_Toc000016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20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7" w:history="1">
        <w:r>
          <w:rPr>
            <w:rFonts w:ascii="Times New Roman" w:hAnsi="Times New Roman" w:cs="Times New Roman"/>
            <w:sz w:val="28"/>
            <w:szCs w:val="28"/>
          </w:rPr>
          <w:t xml:space="preserve">8. ВІДПОВІДІ НА ПИТАННЯ ДЛЯ САМОПЕРЕВІРКИ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_Toc000017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8" w:history="1">
        <w:r>
          <w:rPr>
            <w:rFonts w:ascii="Times New Roman" w:hAnsi="Times New Roman" w:cs="Times New Roman"/>
            <w:sz w:val="28"/>
            <w:szCs w:val="28"/>
          </w:rPr>
          <w:t xml:space="preserve">ВИСНОВКИ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_Toc000018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9" w:history="1">
        <w:r>
          <w:rPr>
            <w:rFonts w:ascii="Times New Roman" w:hAnsi="Times New Roman" w:cs="Times New Roman"/>
            <w:sz w:val="28"/>
            <w:szCs w:val="28"/>
          </w:rPr>
          <w:t xml:space="preserve">СПИСОК ВИКОРИСТАНИХ ДЖЕРЕЛ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_Toc000019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  <w:r>
        <w:rPr>
          <w:rFonts w:ascii="Times New Roman" w:hAnsi="Times New Roman" w:cs="Times New Roman"/>
          <w:sz w:val="28"/>
          <w:szCs w:val="28"/>
        </w:rPr>
        <w:fldChar w:fldCharType="end"/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" w:name="_Toc00000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МЕТА ТА ЗАВДАННЯ РОБОТИ</w:t>
      </w:r>
      <w:bookmarkEnd w:id="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Мета роботи — за допомогою методики CRAMM (CCTA Risk Analysis and Management Method) навчитися процесу управління ризиками інформаційної безпеки підприємства [1]. Об’єкт дослідження, як і в лабораторній роботі 1, — військкомат за індивідуальним варіантом № 24, тобто районний територіальний центр комплектування та соціальної підтримки (далі — ТЦК та СП) [2].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Завдання роботи відповідно до методичних рекомендацій [1]: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1) дослідити поняття управління ризиками (розділ 2);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2) дослідити процес управління ризиками на підприємстві (розділ 3);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3) дослідити методологію CRAMM і застосувати її до ТЦК та СП (розділ 4);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4) перерахувати основні аспекти управлінської роботи щодо забезпечення інформаційної безпеки на рівні підприємства за індивідуальним варіантом (розділ 5);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5) заповнити таблицю методик, які можуть бути застосовані для безпеки підприємства, розширивши перелік методиками, що найкраще підходять для діяльності ТЦК та СП (розділ 6);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6) заповнити таблицю переваг і недоліків методик управління ризиками ІБ (розділ 7).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Відповіді на питання для самоперевірки наведено в розділі 8, аналіз результатів — у висновках. Активи, загрози та вразливості взято з моделі лабораторної роботи 1, що забезпечує наскрізність досліджень.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Примітка. ТЦК та СП, його підрозділи, інформаційна система й усі числові оцінки в роботі є умовною навчальною моделлю, побудованою лише на відкритих нормативних джерелах.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2" w:name="_Toc00000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ПОНЯТТЯ УПРАВЛІННЯ РИЗИКАМИ</w:t>
      </w:r>
      <w:bookmarkEnd w:id="2"/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3" w:name="_Toc000003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2.1. Ризик, загроза, вразливість</w:t>
      </w:r>
      <w:bookmarkEnd w:id="3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Кіберризик — це ймовірність реалізації кіберзагрози з урахуванням потенційних негативних наслідків для підприємства: загроза характеризує можливе джерело або сценарій небажаної події, а ризик враховує ймовірність її реалізації та величину збитків [3]. Загроза — потенційна небезпека для інформаційної системи, вразливість — її слабке місце, атака — практична реалізація дій, спрямованих на використання цієї слабкості [3]. Отже, ризик існує лише там, де є одночасно цінний ресурс, загроза для нього і вразливість, через яку загроза може реалізуватися.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 стандартах ризик визначають як вплив невизначеності на цілі [4], а ризик інформаційної безпеки пов’язують з можливістю того, що загроза використає вразливість активу й завдасть шкоди організації [5]. У методиці CRAMM ця залежність виражена прямо: міра ризику визначається поєднанням цінності активу, рівня загрози та рівня вразливості [6].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4" w:name="_Toc000004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2.2. Управління ризиками та способи обробки</w:t>
      </w:r>
      <w:bookmarkEnd w:id="4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Управління ризиками — скоординована діяльність зі спрямування й контролю організації щодо ризиків [4]. Для інформаційної безпеки це безперервний цикл виявлення, оцінювання, обробки ризиків і контролю результатів, який є основою системи інформаційної безпеки підприємства [1]. Управління інформаційною безпекою на рівні підприємства спрямоване на нейтралізацію зовнішніх загроз (неправомірні дії, злочинна діяльність, збої глобальних систем і систем партнерів) і внутрішніх (помилки й халатність персоналу, навмисні порушення, збої власних систем) і має здійснюватися в контексті загальної діяльності підприємства [1].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кожного оціненого ризику обирають один зі способів обробки [4; 5]: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зменшення (модифікація) — впровадження заходів, що знижують ймовірність або наслідки: для ТЦК та СП — багатофакторна автентифікація операторів Реєстру;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уникнення — відмова від діяльності, що породжує ризик: наприклад, заборона обробки мобілізаційних документів на мережевих АРМ;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передавання (розподіл) — перекладання частини наслідків на іншу сторону: захист від DDoS-атак провайдером, вимоги безпеки в договорах з постачальниками;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прийняття (збереження) — свідоме рішення власника ризику не обробляти ризик, рівень якого не перевищує критеріїв прийнятності.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Механізмами управління ризиками на підприємстві є політика й критерії прийняття ризиків, призначення власників ризиків, методика оцінювання, реєстр ризиків, план обробки, внутрішній аудит і аналіз керівництвом [7]. Для ТЦК та СП власником ризиків є начальник, а методику та реєстр веде служба захисту інформації (розділ 5).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5" w:name="_Toc000005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ПРОЦЕС УПРАВЛІННЯ РИЗИКАМИ НА ПІДПРИЄМСТВІ</w:t>
      </w:r>
      <w:bookmarkEnd w:id="5"/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6" w:name="_Toc000006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3.1. Етапи процесу</w:t>
      </w:r>
      <w:bookmarkEnd w:id="6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Процес управління ризиками інформаційної безпеки за ISO/IEC 27005 і ISO 31000 подано на рис. 2.1. Він починається зі встановлення контексту й містить оцінювання ризиків (ідентифікацію, аналіз і оцінювання), обробку та прийняття ризиків, а комунікація й моніторинг супроводжують усі етапи [4; 5].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6083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m_pro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83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2.1 — Процес управління ризиками інформаційної безпеки з точками прийняття рішень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Дві точки рішень роблять процес ітеративним. Якщо після оцінювання інформації недостатньо для рішення (рішення 1), повертаються до встановлення контексту й уточнюють межі або критерії. Якщо залишковий ризик після обробки неприйнятний (рішення 2), обирають додаткові заходи. Наповнення етапів для ТЦК та СП наведено в табл. 2.1.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2.1 — Етапи процесу управління ризиками в ТЦК та СП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Етап</w:t>
            </w:r>
          </w:p>
        </w:tc>
        <w:tc>
          <w:tcPr>
            <w:tcW w:type="dxa" w:w="351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Зміст</w:t>
            </w:r>
          </w:p>
        </w:tc>
        <w:tc>
          <w:tcPr>
            <w:tcW w:type="dxa" w:w="379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Результат для ТЦК та СП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Встановлення контексту</w:t>
            </w:r>
          </w:p>
        </w:tc>
        <w:tc>
          <w:tcPr>
            <w:tcW w:type="dxa" w:w="351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межі, критерії оцінки та прийняття ризиків, зацікавлені сторони</w:t>
            </w:r>
          </w:p>
        </w:tc>
        <w:tc>
          <w:tcPr>
            <w:tcW w:type="dxa" w:w="379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область СУІБ — процеси П1–П7 ЛР1; прийнятна міра ризику CRAMM — не більше 4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Ідентифікація</w:t>
            </w:r>
          </w:p>
        </w:tc>
        <w:tc>
          <w:tcPr>
            <w:tcW w:type="dxa" w:w="351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активи, загрози, вразливості, наявні заходи, наслідки</w:t>
            </w:r>
          </w:p>
        </w:tc>
        <w:tc>
          <w:tcPr>
            <w:tcW w:type="dxa" w:w="379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 груп даних і 5 груп ПЗ та фізичних активів; 10 загроз З-01…З-10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Аналіз</w:t>
            </w:r>
          </w:p>
        </w:tc>
        <w:tc>
          <w:tcPr>
            <w:tcW w:type="dxa" w:w="351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оцінка цінності активів, рівнів загроз і вразливостей</w:t>
            </w:r>
          </w:p>
        </w:tc>
        <w:tc>
          <w:tcPr>
            <w:tcW w:type="dxa" w:w="379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цінність 1–10, загроза 1–5, вразливість 1–3 (етапи 1–2 CRAMM)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Оцінювання</w:t>
            </w:r>
          </w:p>
        </w:tc>
        <w:tc>
          <w:tcPr>
            <w:tcW w:type="dxa" w:w="351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зіставлення міри ризику з критеріями, пріоритизація</w:t>
            </w:r>
          </w:p>
        </w:tc>
        <w:tc>
          <w:tcPr>
            <w:tcW w:type="dxa" w:w="379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ризики з мірою 5–7 обробляються першочергово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Обробка</w:t>
            </w:r>
          </w:p>
        </w:tc>
        <w:tc>
          <w:tcPr>
            <w:tcW w:type="dxa" w:w="351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вибір способу обробки й заходів, план обробки ризиків</w:t>
            </w:r>
          </w:p>
        </w:tc>
        <w:tc>
          <w:tcPr>
            <w:tcW w:type="dxa" w:w="379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контрзаходи за групами CRAMM (табл. 2.5)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Прийняття</w:t>
            </w:r>
          </w:p>
        </w:tc>
        <w:tc>
          <w:tcPr>
            <w:tcW w:type="dxa" w:w="351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рішення власника щодо залишкових ризиків</w:t>
            </w:r>
          </w:p>
        </w:tc>
        <w:tc>
          <w:tcPr>
            <w:tcW w:type="dxa" w:w="379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наказ начальника ТЦК та СП про прийняття залишкових ризиків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Комунікація, моніторинг</w:t>
            </w:r>
          </w:p>
        </w:tc>
        <w:tc>
          <w:tcPr>
            <w:tcW w:type="dxa" w:w="351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інформування сторін, перегляд ризиків після змін та інцидентів</w:t>
            </w:r>
          </w:p>
        </w:tc>
        <w:tc>
          <w:tcPr>
            <w:tcW w:type="dxa" w:w="379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щоквартальний звіт керівнику СУІБ, переоцінка після інцидентів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7" w:name="_Toc000007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3.2. Процесний підхід у методичних рекомендаціях</w:t>
      </w:r>
      <w:bookmarkEnd w:id="7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Методичні рекомендації подають систему інформаційної безпеки як процес управління ризиками з шести складових: опис бізнес-процесів, збір ризиків, оцінка ризиків, планування заходів, реалізація заходів і оцінка ефективності [1]. Ці складові відповідають етапам рис. 2.1: опис процесів — встановленню контексту, збір і оцінка ризиків — оцінюванню, планування та реалізація заходів — обробці, оцінка ефективності — моніторингу й перегляду. Види заходів (організаційні, правові, організаційно-технічні, програмні, інженерно-технічні) використано в розділі 4.4.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8" w:name="_Toc000008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МЕТОДОЛОГІЯ CRAMM ТА ЇЇ ЗАСТОСУВАННЯ ДО ТЦК ТА СП</w:t>
      </w:r>
      <w:bookmarkEnd w:id="8"/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9" w:name="_Toc000009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4.1. Загальна характеристика CRAMM</w:t>
      </w:r>
      <w:bookmarkEnd w:id="9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Методику CRAMM розробило Центральне агентство з комп’ютерів і телекомунікацій Великобританії (Central Computer and Telecommunications Agency, CCTA) на замовлення британського уряду; її використовують з 1985 року державні й комерційні організації [1]. За даними інвентаризації ENISA, перший випуск методу й однойменного програмного засобу датовано 1985 роком, версію 5 — 2003 роком, постачальником засобу була компанія Insight Consulting, а сама методика є бажаним методом аналізу ризиків для урядових установ Великобританії й особливо придатна для великих організацій [8].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основу CRAMM покладено комплексний підхід, що поєднує кількісні та якісні методи; бази знань (профілі) засобу відрізняються для комерційних і державних організацій [1]. Метою розроблення методики було отримати формалізовану процедуру, яка дає змогу повністю проаналізувати вимоги безпеки, уникнути зайвих витрат, обґрунтувати контрзаходи, порівнювати їх варіанти та генерувати звіти [1].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0" w:name="_Toc000010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4.2. Етапи CRAMM</w:t>
      </w:r>
      <w:bookmarkEnd w:id="10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Методика поділяє процедуру на три послідовні етапи (рис. 2.2). Перший етап відповідає на запитання, чи достатньо засобів базового рівня, чи потрібен детальніший аналіз; на другому ідентифікують ризики та оцінюють їх величину; на третьому обирають адекватні контрзаходи [1].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52089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ram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08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2.2 — Етапи методики CRAMM та шкали оцінювання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Шкали CRAMM такі [6]. Цінність даних визначають в інтерв’ю з їх власниками через наслідки найгірших сценаріїв недоступності, знищення, розголошення та модифікації і переводять у шкалу 1–10; прикладне ПЗ і фізичні активи оцінюють за вартістю заміни в тій самій шкалі, а також успадковують цінність даних, які вони обробляють. Рівень загрози має п’ять градацій (дуже низький … дуже високий), рівень вразливості — три (низький, середній, високий). Засіб CRAMM за вбудованою матрицею перетворює поєднання цінності, загрози та вразливості на міру ризику від 1 (базові вимоги безпеки) до 7 (дуже високі вимоги). Бібліотеку з майже 4000 контрзаходів згруповано за аспектами безпеки: апаратні, програмні, комунікаційні, процедурні, фізичні, кадрові та середовищні [6].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1" w:name="_Toc00001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4.3. Етап 1: ідентифікація та оцінка активів ТЦК та СП</w:t>
      </w:r>
      <w:bookmarkEnd w:id="1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Оцінки цінності даних (табл. 2.2) отримано за принципом CRAMM — від власників даних, через наслідки найгіршого сценарію для кожного з чотирьох видів порушення. Цінність активу дорівнює найбільшій з чотирьох оцінок.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2.2 — Етап 1 CRAMM: оцінка цінності даних ТЦК та СП (шкала 1–10)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rPr>
          <w:tblHeader w:val="true"/>
          <w:cantSplit w:val="true"/>
        </w:trPr>
        <w:tc>
          <w:tcPr>
            <w:tcW w:type="dxa" w:w="62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Код</w:t>
            </w:r>
          </w:p>
        </w:tc>
        <w:tc>
          <w:tcPr>
            <w:tcW w:type="dxa" w:w="22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Дані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Респондент (власник)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Недоступ-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ність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Знищення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Розголо-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шення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Модифі-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кація</w:t>
            </w:r>
          </w:p>
        </w:tc>
        <w:tc>
          <w:tcPr>
            <w:tcW w:type="dxa" w:w="8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Цінність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Д1</w:t>
            </w:r>
          </w:p>
        </w:tc>
        <w:tc>
          <w:tcPr>
            <w:tcW w:type="dxa" w:w="22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Відомості Реєстру — дані органу ведення (A-01)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начальник відділення військового обліку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8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10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Д2</w:t>
            </w:r>
          </w:p>
        </w:tc>
        <w:tc>
          <w:tcPr>
            <w:tcW w:type="dxa" w:w="22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Медичні висновки та протоколи ВЛК (A-02)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голова ВЛК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8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9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Д3</w:t>
            </w:r>
          </w:p>
        </w:tc>
        <w:tc>
          <w:tcPr>
            <w:tcW w:type="dxa" w:w="22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Мобілізаційні розпорядження та плани (A-03)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начальник ТЦК та СП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8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10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Д4</w:t>
            </w:r>
          </w:p>
        </w:tc>
        <w:tc>
          <w:tcPr>
            <w:tcW w:type="dxa" w:w="22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Біометричні дані та фотозображення (A-04)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начальник відділення військового обліку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8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9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Д5</w:t>
            </w:r>
          </w:p>
        </w:tc>
        <w:tc>
          <w:tcPr>
            <w:tcW w:type="dxa" w:w="22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Справи соціальної підтримки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начальник відділення соціальної підтримки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8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Д6</w:t>
            </w:r>
          </w:p>
        </w:tc>
        <w:tc>
          <w:tcPr>
            <w:tcW w:type="dxa" w:w="226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Журнали подій безпеки (A-10)</w:t>
            </w:r>
          </w:p>
        </w:tc>
        <w:tc>
          <w:tcPr>
            <w:tcW w:type="dxa" w:w="198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служба захисту інформації</w:t>
            </w:r>
          </w:p>
        </w:tc>
        <w:tc>
          <w:tcPr>
            <w:tcW w:type="dxa" w:w="90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90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90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90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85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8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Прикладне ПЗ та фізичні активи (табл. 2.3) оцінено за вартістю заміни; якщо вони обробляють цінніші дані, їхня цінність підвищується до цінності цих даних, як це робить засіб CRAMM.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2.3 — Етап 1 CRAMM: оцінка ПЗ та фізичних активів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  <w:cantSplit w:val="true"/>
        </w:trPr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30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Актив</w:t>
            </w:r>
          </w:p>
        </w:tc>
        <w:tc>
          <w:tcPr>
            <w:tcW w:type="dxa" w:w="14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Тип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Вартість заміни</w:t>
            </w:r>
          </w:p>
        </w:tc>
        <w:tc>
          <w:tcPr>
            <w:tcW w:type="dxa" w:w="141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Дані</w:t>
            </w:r>
          </w:p>
        </w:tc>
        <w:tc>
          <w:tcPr>
            <w:tcW w:type="dxa" w:w="13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Цінність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П1</w:t>
            </w:r>
          </w:p>
        </w:tc>
        <w:tc>
          <w:tcPr>
            <w:tcW w:type="dxa" w:w="30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Клієнтське ПЗ органу ведення Реєстру на АРМ (A-06)</w:t>
            </w:r>
          </w:p>
        </w:tc>
        <w:tc>
          <w:tcPr>
            <w:tcW w:type="dxa" w:w="14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прикладне ПЗ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41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Д1, Д4</w:t>
            </w:r>
          </w:p>
        </w:tc>
        <w:tc>
          <w:tcPr>
            <w:tcW w:type="dxa" w:w="13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П2</w:t>
            </w:r>
          </w:p>
        </w:tc>
        <w:tc>
          <w:tcPr>
            <w:tcW w:type="dxa" w:w="30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Вебсервіс електронної черги (A-08)</w:t>
            </w:r>
          </w:p>
        </w:tc>
        <w:tc>
          <w:tcPr>
            <w:tcW w:type="dxa" w:w="14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прикладне ПЗ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41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3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Ф1</w:t>
            </w:r>
          </w:p>
        </w:tc>
        <w:tc>
          <w:tcPr>
            <w:tcW w:type="dxa" w:w="30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Сервер документообігу та АРМ операторів (A-06)</w:t>
            </w:r>
          </w:p>
        </w:tc>
        <w:tc>
          <w:tcPr>
            <w:tcW w:type="dxa" w:w="14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фізичний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41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Д2, Д5, Д6</w:t>
            </w:r>
          </w:p>
        </w:tc>
        <w:tc>
          <w:tcPr>
            <w:tcW w:type="dxa" w:w="13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Ф2</w:t>
            </w:r>
          </w:p>
        </w:tc>
        <w:tc>
          <w:tcPr>
            <w:tcW w:type="dxa" w:w="30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Криптошлюз КЗІ та канали обміну (A-05, A-07)</w:t>
            </w:r>
          </w:p>
        </w:tc>
        <w:tc>
          <w:tcPr>
            <w:tcW w:type="dxa" w:w="14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фізичний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141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Д1</w:t>
            </w:r>
          </w:p>
        </w:tc>
        <w:tc>
          <w:tcPr>
            <w:tcW w:type="dxa" w:w="13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Ф3</w:t>
            </w:r>
          </w:p>
        </w:tc>
        <w:tc>
          <w:tcPr>
            <w:tcW w:type="dxa" w:w="306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Приміщення РСО з автономними АРМ (A-03)</w:t>
            </w:r>
          </w:p>
        </w:tc>
        <w:tc>
          <w:tcPr>
            <w:tcW w:type="dxa" w:w="147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фізичний</w:t>
            </w:r>
          </w:p>
        </w:tc>
        <w:tc>
          <w:tcPr>
            <w:tcW w:type="dxa" w:w="130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41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Д3</w:t>
            </w:r>
          </w:p>
        </w:tc>
        <w:tc>
          <w:tcPr>
            <w:tcW w:type="dxa" w:w="136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Відповідь на запитання першого етапу: 9 активів мають цінність 8 і вище (Д1, Д2, Д3, Д4, Д6, П1, Ф1, Ф2, Ф3), тому засобів базового рівня недостатньо і для ТЦК та СП потрібен детальний аналіз ризиків (етап 2). Базовий рівень захисту прийнятний лише для сервісу електронної черги П2 як відокремленого ресурсу з відкритою інформацією.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2" w:name="_Toc00001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4.4. Етап 2: оцінка загроз, вразливостей і міри ризику</w:t>
      </w:r>
      <w:bookmarkEnd w:id="12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груп активів оцінено рівні загроз і вразливостей за шкалами CRAMM (табл. 2.4). Оригінальна матриця засобу CRAMM не публікується, тому в роботі міру ризику R обчислено монотонною апроксимацією, що зберігає шкали та напрям впливу кожного чинника:</w:t>
      </w:r>
    </w:p>
    <w:p>
      <w:pPr>
        <w:keepNext w:val="0"/>
        <w:widowControl/>
        <w:spacing w:line="36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R = 1 + округл(2,5·(V − 1)/9 + 2·(T − 1)/4 + 1,5·(U − 1)/2),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де V — цінність групи активів (1–10, найбільша в групі), T — рівень загрози (1–5), U — рівень вразливості (1–3). Найменшим значенням чинників відповідає R = 1, найбільшим — R = 7.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2.4 — Етап 2 CRAMM: загрози, вразливості та міра ризику для ТЦК та СП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 w:val="true"/>
          <w:cantSplit w:val="true"/>
        </w:trPr>
        <w:tc>
          <w:tcPr>
            <w:tcW w:type="dxa" w:w="10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Активи</w:t>
            </w:r>
          </w:p>
        </w:tc>
        <w:tc>
          <w:tcPr>
            <w:tcW w:type="dxa" w:w="26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Загроза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V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Загроза (T)</w:t>
            </w:r>
          </w:p>
        </w:tc>
        <w:tc>
          <w:tcPr>
            <w:tcW w:type="dxa" w:w="10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Вразли-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вість (U)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R</w:t>
            </w:r>
          </w:p>
        </w:tc>
        <w:tc>
          <w:tcPr>
            <w:tcW w:type="dxa" w:w="243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Обґрунтування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Д1, П1</w:t>
            </w:r>
          </w:p>
        </w:tc>
        <w:tc>
          <w:tcPr>
            <w:tcW w:type="dxa" w:w="26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З-01 цільовий фішинг і викрадення облікових даних операторів Реєстру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дуже високий</w:t>
            </w:r>
          </w:p>
        </w:tc>
        <w:tc>
          <w:tcPr>
            <w:tcW w:type="dxa" w:w="10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високий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243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цільові фішингові кампанії проти держорганів; MFA для операторів відсутня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Д1</w:t>
            </w:r>
          </w:p>
        </w:tc>
        <w:tc>
          <w:tcPr>
            <w:tcW w:type="dxa" w:w="26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З-02 несанкціонована зміна облікових записів військовозобов’язаних (корупційне втручання)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середній</w:t>
            </w:r>
          </w:p>
        </w:tc>
        <w:tc>
          <w:tcPr>
            <w:tcW w:type="dxa" w:w="10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високий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243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широкі права операторів, зміни записів не перевіряються другою особою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Д2, Д4</w:t>
            </w:r>
          </w:p>
        </w:tc>
        <w:tc>
          <w:tcPr>
            <w:tcW w:type="dxa" w:w="26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З-03 витік персональних і медичних даних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середній</w:t>
            </w:r>
          </w:p>
        </w:tc>
        <w:tc>
          <w:tcPr>
            <w:tcW w:type="dxa" w:w="10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середній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43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медичні дані на сервері без маскування; DLP відсутня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П2</w:t>
            </w:r>
          </w:p>
        </w:tc>
        <w:tc>
          <w:tcPr>
            <w:tcW w:type="dxa" w:w="26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З-04 dDoS-атака на сервіс електронної черги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високий</w:t>
            </w:r>
          </w:p>
        </w:tc>
        <w:tc>
          <w:tcPr>
            <w:tcW w:type="dxa" w:w="10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високий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43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сервіс черги має єдиний канал без фільтрації трафіку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П1, Ф1</w:t>
            </w:r>
          </w:p>
        </w:tc>
        <w:tc>
          <w:tcPr>
            <w:tcW w:type="dxa" w:w="26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З-05 атака через ланцюг постачання (шкідливе оновлення ПЗ)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низький</w:t>
            </w:r>
          </w:p>
        </w:tc>
        <w:tc>
          <w:tcPr>
            <w:tcW w:type="dxa" w:w="10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середній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43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оновлення надходять від постачальника, цілісність перевіряється не завжди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Ф1, Д6</w:t>
            </w:r>
          </w:p>
        </w:tc>
        <w:tc>
          <w:tcPr>
            <w:tcW w:type="dxa" w:w="26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З-06 програма-вимагач або вайпер у локальній мережі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середній</w:t>
            </w:r>
          </w:p>
        </w:tc>
        <w:tc>
          <w:tcPr>
            <w:tcW w:type="dxa" w:w="10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високий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243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пласка ЛОМ, резервні копії зберігаються в мережі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Ф3, Д3</w:t>
            </w:r>
          </w:p>
        </w:tc>
        <w:tc>
          <w:tcPr>
            <w:tcW w:type="dxa" w:w="26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З-07 фізичне проникнення, підключення пристрою, крадіжка носія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низький</w:t>
            </w:r>
          </w:p>
        </w:tc>
        <w:tc>
          <w:tcPr>
            <w:tcW w:type="dxa" w:w="10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низький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243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охоронювана зона РСО, автономні АРМ без мережі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Ф2</w:t>
            </w:r>
          </w:p>
        </w:tc>
        <w:tc>
          <w:tcPr>
            <w:tcW w:type="dxa" w:w="26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З-08 компрометація засобів КЗІ та ключових документів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низький</w:t>
            </w:r>
          </w:p>
        </w:tc>
        <w:tc>
          <w:tcPr>
            <w:tcW w:type="dxa" w:w="10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низький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243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облік ключових документів за правилами Держспецзв’язку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Д1, Д6</w:t>
            </w:r>
          </w:p>
        </w:tc>
        <w:tc>
          <w:tcPr>
            <w:tcW w:type="dxa" w:w="26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З-09 заперечення виконаних дій операторами (відсутність доказовості)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середній</w:t>
            </w:r>
          </w:p>
        </w:tc>
        <w:tc>
          <w:tcPr>
            <w:tcW w:type="dxa" w:w="10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середній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43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журнали є, але не захищені від зміни адміністратором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Ф1, Ф2</w:t>
            </w:r>
          </w:p>
        </w:tc>
        <w:tc>
          <w:tcPr>
            <w:tcW w:type="dxa" w:w="260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З-10 відмова обладнання або живлення під час обстрілів</w:t>
            </w:r>
          </w:p>
        </w:tc>
        <w:tc>
          <w:tcPr>
            <w:tcW w:type="dxa" w:w="45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130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високий</w:t>
            </w:r>
          </w:p>
        </w:tc>
        <w:tc>
          <w:tcPr>
            <w:tcW w:type="dxa" w:w="107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середній</w:t>
            </w:r>
          </w:p>
        </w:tc>
        <w:tc>
          <w:tcPr>
            <w:tcW w:type="dxa" w:w="45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243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відключення живлення під час обстрілів; генератор є, резервного каналу немає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Розподіл мір ризику: R = 7 — 1; R = 6 — 3; R = 5 — 4; R = 4 — 2. Найбільшу міру має З-01 (цільовий фішинг і викрадення облікових даних операторів реєстру, R = 7); міру 6 — З-02, З-06, З-10. Загрози З-07 і З-08 мають міру 4: попри найвищу цінність активів, низька вразливість (ізольовані АРМ, облік ключів) утримує їх на рівні прийнятного ризику, визначеного в контексті (не більше 4).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3" w:name="_Toc000013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4.5. Етап 3: вибір контрзаходів</w:t>
      </w:r>
      <w:bookmarkEnd w:id="13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Контрзаходи обрано з груп бібліотеки CRAMM за аспектами безпеки (табл. 2.5). Пріоритет мають заходи, що захищають від кількох загроз, і заходи для систем з мірою ризику 6–7 [6].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2.5 — Етап 3 CRAMM: групи контрзаходів для ТЦК та СП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70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Група CRAMM</w:t>
            </w:r>
          </w:p>
        </w:tc>
        <w:tc>
          <w:tcPr>
            <w:tcW w:type="dxa" w:w="56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Контрзаходи для ТЦК та СП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Загрози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Апаратні</w:t>
            </w:r>
          </w:p>
        </w:tc>
        <w:tc>
          <w:tcPr>
            <w:tcW w:type="dxa" w:w="56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резервний сервер документообігу, ДБЖ і генератор з автоматичним перемиканням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З-10, З-06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Програмні</w:t>
            </w:r>
          </w:p>
        </w:tc>
        <w:tc>
          <w:tcPr>
            <w:tcW w:type="dxa" w:w="56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багатофакторна автентифікація операторів, EDR, контроль цілісності оновлень, DLP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З-01, З-03, З-05, З-06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Комунікаційні</w:t>
            </w:r>
          </w:p>
        </w:tc>
        <w:tc>
          <w:tcPr>
            <w:tcW w:type="dxa" w:w="56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анти-DDoS-фільтр і WAF для сервісу черги, резервний канал, сегментація VLAN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З-04, З-06, З-10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Процедурні</w:t>
            </w:r>
          </w:p>
        </w:tc>
        <w:tc>
          <w:tcPr>
            <w:tcW w:type="dxa" w:w="56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принцип «чотирьох очей» для змін записів Реєстру, захищене журналювання, план реагування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З-02, З-09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Фізичні</w:t>
            </w:r>
          </w:p>
        </w:tc>
        <w:tc>
          <w:tcPr>
            <w:tcW w:type="dxa" w:w="56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контроль доступу до приміщень, блокування USB-портів, сейфове зберігання носіїв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З-07, З-08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Кадрові</w:t>
            </w:r>
          </w:p>
        </w:tc>
        <w:tc>
          <w:tcPr>
            <w:tcW w:type="dxa" w:w="56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навчання протидії фішингу, перевірка при оформленні допуску, відповідальність за порушення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З-01, З-02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Середовищні</w:t>
            </w:r>
          </w:p>
        </w:tc>
        <w:tc>
          <w:tcPr>
            <w:tcW w:type="dxa" w:w="566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захист серверної від перегріву й затоплення, резервне живлення приміщення РСО</w:t>
            </w:r>
          </w:p>
        </w:tc>
        <w:tc>
          <w:tcPr>
            <w:tcW w:type="dxa" w:w="198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З-10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Найвищий пріоритет мають програмні заходи (захищають від 4 загроз) і комунікаційні заходи (захищають від 3 загроз): багатофакторна автентифікація, EDR, контроль оновлень, фільтрація трафіку та сегментація одночасно знижують ризики З-01, З-04, З-05 і З-06. Процедурний принцип «чотирьох очей» — головний захід проти корупційного втручання З-02, яке технічні засоби самі не усувають.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4" w:name="_Toc000014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АСПЕКТИ УПРАВЛІНСЬКОЇ РОБОТИ ЩОДО ЗАБЕЗПЕЧЕННЯ ІБ У ТЦК ТА СП</w:t>
      </w:r>
      <w:bookmarkEnd w:id="14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Управлінську роботу з інформаційної безпеки в ТЦК та СП розподілено за рівнями (рис. 2.3). Стратегічний рівень ухвалює рішення й надає ресурси, тактичний перетворює їх на методики й правила, операційний виконує заходи, а контроль повертає керівництву звіти про стан ризиків. Така побудова відповідає вимогам розділів 5, 6 і 9 ISO/IEC 27001:2022 [7].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45692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gmt_leve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69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2.3 — Рівні управлінської роботи щодо забезпечення ІБ у ТЦК та СП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Основні аспекти управлінської роботи щодо забезпечення інформаційної безпеки на рівні ТЦК та СП, відповідальні виконавці й документовані результати наведено в табл. 2.6.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2.6 — Аспекти управлінської роботи щодо забезпечення ІБ у ТЦК та СП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17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Рівень</w:t>
            </w:r>
          </w:p>
        </w:tc>
        <w:tc>
          <w:tcPr>
            <w:tcW w:type="dxa" w:w="30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Аспект</w:t>
            </w:r>
          </w:p>
        </w:tc>
        <w:tc>
          <w:tcPr>
            <w:tcW w:type="dxa" w:w="22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Відповідальний</w:t>
            </w:r>
          </w:p>
        </w:tc>
        <w:tc>
          <w:tcPr>
            <w:tcW w:type="dxa" w:w="232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17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Стратегічний</w:t>
            </w:r>
          </w:p>
        </w:tc>
        <w:tc>
          <w:tcPr>
            <w:tcW w:type="dxa" w:w="30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Політика інформаційної безпеки та цілі СУІБ</w:t>
            </w:r>
          </w:p>
        </w:tc>
        <w:tc>
          <w:tcPr>
            <w:tcW w:type="dxa" w:w="22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начальник ТЦК та СП</w:t>
            </w:r>
          </w:p>
        </w:tc>
        <w:tc>
          <w:tcPr>
            <w:tcW w:type="dxa" w:w="232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наказ про затвердження політики, цілі на рік</w:t>
            </w:r>
          </w:p>
        </w:tc>
      </w:tr>
      <w:tr>
        <w:trPr>
          <w:cantSplit w:val="true"/>
        </w:trPr>
        <w:tc>
          <w:tcPr>
            <w:tcW w:type="dxa" w:w="17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Стратегічний</w:t>
            </w:r>
          </w:p>
        </w:tc>
        <w:tc>
          <w:tcPr>
            <w:tcW w:type="dxa" w:w="30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Визначення прийнятного рівня ризику та власників ризиків</w:t>
            </w:r>
          </w:p>
        </w:tc>
        <w:tc>
          <w:tcPr>
            <w:tcW w:type="dxa" w:w="22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начальник ТЦК та СП</w:t>
            </w:r>
          </w:p>
        </w:tc>
        <w:tc>
          <w:tcPr>
            <w:tcW w:type="dxa" w:w="232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критерії прийняття ризиків (міра CRAMM ≤ 4)</w:t>
            </w:r>
          </w:p>
        </w:tc>
      </w:tr>
      <w:tr>
        <w:trPr>
          <w:cantSplit w:val="true"/>
        </w:trPr>
        <w:tc>
          <w:tcPr>
            <w:tcW w:type="dxa" w:w="17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Стратегічний</w:t>
            </w:r>
          </w:p>
        </w:tc>
        <w:tc>
          <w:tcPr>
            <w:tcW w:type="dxa" w:w="30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Розподіл ресурсів: персонал, бюджет, засоби захисту</w:t>
            </w:r>
          </w:p>
        </w:tc>
        <w:tc>
          <w:tcPr>
            <w:tcW w:type="dxa" w:w="22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начальник, фінансово-господарське відділення</w:t>
            </w:r>
          </w:p>
        </w:tc>
        <w:tc>
          <w:tcPr>
            <w:tcW w:type="dxa" w:w="232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план закупівель засобів захисту</w:t>
            </w:r>
          </w:p>
        </w:tc>
      </w:tr>
      <w:tr>
        <w:trPr>
          <w:cantSplit w:val="true"/>
        </w:trPr>
        <w:tc>
          <w:tcPr>
            <w:tcW w:type="dxa" w:w="17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Тактичний</w:t>
            </w:r>
          </w:p>
        </w:tc>
        <w:tc>
          <w:tcPr>
            <w:tcW w:type="dxa" w:w="30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Організаційна структура СУІБ, ролі й повноваження</w:t>
            </w:r>
          </w:p>
        </w:tc>
        <w:tc>
          <w:tcPr>
            <w:tcW w:type="dxa" w:w="22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заступник начальника (керівник СУІБ)</w:t>
            </w:r>
          </w:p>
        </w:tc>
        <w:tc>
          <w:tcPr>
            <w:tcW w:type="dxa" w:w="232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положення про службу захисту інформації</w:t>
            </w:r>
          </w:p>
        </w:tc>
      </w:tr>
      <w:tr>
        <w:trPr>
          <w:cantSplit w:val="true"/>
        </w:trPr>
        <w:tc>
          <w:tcPr>
            <w:tcW w:type="dxa" w:w="17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Тактичний</w:t>
            </w:r>
          </w:p>
        </w:tc>
        <w:tc>
          <w:tcPr>
            <w:tcW w:type="dxa" w:w="30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Методика оцінки ризиків і періодичність переоцінки</w:t>
            </w:r>
          </w:p>
        </w:tc>
        <w:tc>
          <w:tcPr>
            <w:tcW w:type="dxa" w:w="22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служба захисту інформації</w:t>
            </w:r>
          </w:p>
        </w:tc>
        <w:tc>
          <w:tcPr>
            <w:tcW w:type="dxa" w:w="232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методика на основі CRAMM, щорічна переоцінка</w:t>
            </w:r>
          </w:p>
        </w:tc>
      </w:tr>
      <w:tr>
        <w:trPr>
          <w:cantSplit w:val="true"/>
        </w:trPr>
        <w:tc>
          <w:tcPr>
            <w:tcW w:type="dxa" w:w="17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Тактичний</w:t>
            </w:r>
          </w:p>
        </w:tc>
        <w:tc>
          <w:tcPr>
            <w:tcW w:type="dxa" w:w="30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Класифікація інформації та порядок доступу</w:t>
            </w:r>
          </w:p>
        </w:tc>
        <w:tc>
          <w:tcPr>
            <w:tcW w:type="dxa" w:w="22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служба захисту інформації, РСО</w:t>
            </w:r>
          </w:p>
        </w:tc>
        <w:tc>
          <w:tcPr>
            <w:tcW w:type="dxa" w:w="232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перелік відомостей, матриця доступу</w:t>
            </w:r>
          </w:p>
        </w:tc>
      </w:tr>
      <w:tr>
        <w:trPr>
          <w:cantSplit w:val="true"/>
        </w:trPr>
        <w:tc>
          <w:tcPr>
            <w:tcW w:type="dxa" w:w="17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Тактичний</w:t>
            </w:r>
          </w:p>
        </w:tc>
        <w:tc>
          <w:tcPr>
            <w:tcW w:type="dxa" w:w="30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Безпека відносин з постачальниками ПЗ і зв’язку</w:t>
            </w:r>
          </w:p>
        </w:tc>
        <w:tc>
          <w:tcPr>
            <w:tcW w:type="dxa" w:w="22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група ІКТ та зв’язку</w:t>
            </w:r>
          </w:p>
        </w:tc>
        <w:tc>
          <w:tcPr>
            <w:tcW w:type="dxa" w:w="232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вимоги безпеки в договорах</w:t>
            </w:r>
          </w:p>
        </w:tc>
      </w:tr>
      <w:tr>
        <w:trPr>
          <w:cantSplit w:val="true"/>
        </w:trPr>
        <w:tc>
          <w:tcPr>
            <w:tcW w:type="dxa" w:w="17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Операційний</w:t>
            </w:r>
          </w:p>
        </w:tc>
        <w:tc>
          <w:tcPr>
            <w:tcW w:type="dxa" w:w="30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Керування доступом та обліковими записами</w:t>
            </w:r>
          </w:p>
        </w:tc>
        <w:tc>
          <w:tcPr>
            <w:tcW w:type="dxa" w:w="22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адміністратор безпеки</w:t>
            </w:r>
          </w:p>
        </w:tc>
        <w:tc>
          <w:tcPr>
            <w:tcW w:type="dxa" w:w="232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журнал видачі й відкликання прав</w:t>
            </w:r>
          </w:p>
        </w:tc>
      </w:tr>
      <w:tr>
        <w:trPr>
          <w:cantSplit w:val="true"/>
        </w:trPr>
        <w:tc>
          <w:tcPr>
            <w:tcW w:type="dxa" w:w="17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Операційний</w:t>
            </w:r>
          </w:p>
        </w:tc>
        <w:tc>
          <w:tcPr>
            <w:tcW w:type="dxa" w:w="30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Моніторинг подій і реагування на інциденти</w:t>
            </w:r>
          </w:p>
        </w:tc>
        <w:tc>
          <w:tcPr>
            <w:tcW w:type="dxa" w:w="22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аналітик подій, взаємодія з CERT-UA</w:t>
            </w:r>
          </w:p>
        </w:tc>
        <w:tc>
          <w:tcPr>
            <w:tcW w:type="dxa" w:w="232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звіти SIEM, картки інцидентів</w:t>
            </w:r>
          </w:p>
        </w:tc>
      </w:tr>
      <w:tr>
        <w:trPr>
          <w:cantSplit w:val="true"/>
        </w:trPr>
        <w:tc>
          <w:tcPr>
            <w:tcW w:type="dxa" w:w="17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Операційний</w:t>
            </w:r>
          </w:p>
        </w:tc>
        <w:tc>
          <w:tcPr>
            <w:tcW w:type="dxa" w:w="30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Резервне копіювання та неперервність</w:t>
            </w:r>
          </w:p>
        </w:tc>
        <w:tc>
          <w:tcPr>
            <w:tcW w:type="dxa" w:w="22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група ІКТ та зв’язку</w:t>
            </w:r>
          </w:p>
        </w:tc>
        <w:tc>
          <w:tcPr>
            <w:tcW w:type="dxa" w:w="232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графік резервування, план відновлення</w:t>
            </w:r>
          </w:p>
        </w:tc>
      </w:tr>
      <w:tr>
        <w:trPr>
          <w:cantSplit w:val="true"/>
        </w:trPr>
        <w:tc>
          <w:tcPr>
            <w:tcW w:type="dxa" w:w="17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Операційний</w:t>
            </w:r>
          </w:p>
        </w:tc>
        <w:tc>
          <w:tcPr>
            <w:tcW w:type="dxa" w:w="30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Навчання та підвищення обізнаності персоналу</w:t>
            </w:r>
          </w:p>
        </w:tc>
        <w:tc>
          <w:tcPr>
            <w:tcW w:type="dxa" w:w="22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служба захисту інформації</w:t>
            </w:r>
          </w:p>
        </w:tc>
        <w:tc>
          <w:tcPr>
            <w:tcW w:type="dxa" w:w="232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журнал інструктажів, результати фішинг-тренувань</w:t>
            </w:r>
          </w:p>
        </w:tc>
      </w:tr>
      <w:tr>
        <w:trPr>
          <w:cantSplit w:val="true"/>
        </w:trPr>
        <w:tc>
          <w:tcPr>
            <w:tcW w:type="dxa" w:w="175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Контроль</w:t>
            </w:r>
          </w:p>
        </w:tc>
        <w:tc>
          <w:tcPr>
            <w:tcW w:type="dxa" w:w="30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Внутрішній аудит і аналіз керівництвом</w:t>
            </w:r>
          </w:p>
        </w:tc>
        <w:tc>
          <w:tcPr>
            <w:tcW w:type="dxa" w:w="226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керівник СУІБ, начальник</w:t>
            </w:r>
          </w:p>
        </w:tc>
        <w:tc>
          <w:tcPr>
            <w:tcW w:type="dxa" w:w="232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звіт аудиту, протокол аналізу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Особливості ТЦК та СП як державного органу: персональні дані громадян обробляються на підставі закону [9], ведення Реєстру регулюється окремим законом [10], а кіберзахист державних інформаційних ресурсів і повідомлення CERT-UA про інциденти є обов’язковими [11]. Тому управлінська робота поєднує вимоги СУІБ з національним порядком створення КСЗІ [12]. Ризики, оцінені за CRAMM, і порушники з ЛР1 стають вихідними даними для моделі загроз і моделі порушника КСЗІ, а ступінь ризику, пов’язаний з посадою працівника, ураховують під час розподілу прав доступу [13].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5" w:name="_Toc000015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МЕТОДИКИ УПРАВЛІННЯ РИЗИКАМИ ДЛЯ ТЦК ТА СП</w:t>
      </w:r>
      <w:bookmarkEnd w:id="15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 завданням 5 таблицю методик (форма таблиці 3.1 методичних рекомендацій [1]) заповнено всіма методиками, що можуть бути застосовані для безпеки ТЦК та СП, і розширено методиками, які найкраще відповідають діяльності державного органу: міжнародними стандартами процесу (ISO/IEC 27005, ISO 31000), методами моделювання загроз і аналізу впливу з лекцій курсу [3; 14] та національним порядком створення КСЗІ [12]. Описи методик ґрунтуються на першоджерелах [8; 15; 16; 17; 18] (табл. 2.7).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2.7 — Методики управління ризиками та їх застосування в ТЦК та СП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Методика</w:t>
            </w:r>
          </w:p>
        </w:tc>
        <w:tc>
          <w:tcPr>
            <w:tcW w:type="dxa" w:w="368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Опис методики</w:t>
            </w:r>
          </w:p>
        </w:tc>
        <w:tc>
          <w:tcPr>
            <w:tcW w:type="dxa" w:w="368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Застосування в ТЦК та СП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CRAMM</w:t>
            </w:r>
          </w:p>
        </w:tc>
        <w:tc>
          <w:tcPr>
            <w:tcW w:type="dxa" w:w="368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Три етапи: оцінка активів (1–10), оцінка загроз і вразливостей з мірою ризику 1–7, вибір контрзаходів з бібліотеки; державний профіль для урядових установ</w:t>
            </w:r>
          </w:p>
        </w:tc>
        <w:tc>
          <w:tcPr>
            <w:tcW w:type="dxa" w:w="368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Основна методика роботи: повний аналіз активів Реєстру, ВЛК та мобілізаційних документів (розділ 4)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ISO/IEC 27005:2022</w:t>
            </w:r>
          </w:p>
        </w:tc>
        <w:tc>
          <w:tcPr>
            <w:tcW w:type="dxa" w:w="368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Настанова з керування ризиками ІБ у межах СУІБ за ISO/IEC 27001: контекст, оцінювання, обробка, прийняття, комунікація, моніторинг</w:t>
            </w:r>
          </w:p>
        </w:tc>
        <w:tc>
          <w:tcPr>
            <w:tcW w:type="dxa" w:w="368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Рамка процесу, у яку вбудовано CRAMM; узгодження з Декларацією про застосовність ЛР1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ISO 31000:2018</w:t>
            </w:r>
          </w:p>
        </w:tc>
        <w:tc>
          <w:tcPr>
            <w:tcW w:type="dxa" w:w="368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Загальні принципи й процес управління ризиками будь-якої природи</w:t>
            </w:r>
          </w:p>
        </w:tc>
        <w:tc>
          <w:tcPr>
            <w:tcW w:type="dxa" w:w="368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Інтеграція кіберризиків у загальне управління ризиками ТЦК та СП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NIST SP 800-30 Rev. 1</w:t>
            </w:r>
          </w:p>
        </w:tc>
        <w:tc>
          <w:tcPr>
            <w:tcW w:type="dxa" w:w="368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Підготовка, проведення, повідомлення та підтримання оцінки ризиків; шкали ймовірності й впливу</w:t>
            </w:r>
          </w:p>
        </w:tc>
        <w:tc>
          <w:tcPr>
            <w:tcW w:type="dxa" w:w="368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Сценарні оцінки для відомчих ІТС, узгоджені з NIST CSF 2.0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COBIT 5 for Risk</w:t>
            </w:r>
          </w:p>
        </w:tc>
        <w:tc>
          <w:tcPr>
            <w:tcW w:type="dxa" w:w="368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Управління ІТ-ризиками з позицій врядування: функція ризику та процеси керування ризиками</w:t>
            </w:r>
          </w:p>
        </w:tc>
        <w:tc>
          <w:tcPr>
            <w:tcW w:type="dxa" w:w="368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Звітування начальнику, зв’язок ризиків з ІТ-процесами групи ІКТ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OCTAVE (OCTAVE-S, OCTAVE Allegro)</w:t>
            </w:r>
          </w:p>
        </w:tc>
        <w:tc>
          <w:tcPr>
            <w:tcW w:type="dxa" w:w="368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Самостійна оцінка силами працівників: профілі критичних активів, загрози, вразливості інфраструктури, стратегія захисту</w:t>
            </w:r>
          </w:p>
        </w:tc>
        <w:tc>
          <w:tcPr>
            <w:tcW w:type="dxa" w:w="368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Швидка самооцінка окремого відділення без зовнішніх консультантів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FRAP</w:t>
            </w:r>
          </w:p>
        </w:tc>
        <w:tc>
          <w:tcPr>
            <w:tcW w:type="dxa" w:w="368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Груповий якісний аналіз під керівництвом фасилітатора; ймовірність і вплив за шкалою висока / середня / низька</w:t>
            </w:r>
          </w:p>
        </w:tc>
        <w:tc>
          <w:tcPr>
            <w:tcW w:type="dxa" w:w="368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Короткі сесії з керівниками відділень для нових сервісів (наприклад, електронної черги)</w:t>
            </w:r>
          </w:p>
        </w:tc>
      </w:tr>
    </w:tbl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Продовження таблиці 2.7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Методика</w:t>
            </w:r>
          </w:p>
        </w:tc>
        <w:tc>
          <w:tcPr>
            <w:tcW w:type="dxa" w:w="368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Опис методики</w:t>
            </w:r>
          </w:p>
        </w:tc>
        <w:tc>
          <w:tcPr>
            <w:tcW w:type="dxa" w:w="368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Застосування в ТЦК та СП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EBIOS</w:t>
            </w:r>
          </w:p>
        </w:tc>
        <w:tc>
          <w:tcPr>
            <w:tcW w:type="dxa" w:w="368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Французька методика (ANSSI) з циклу фаз: контекст, події, сценарії загроз, ризики, заходи</w:t>
            </w:r>
          </w:p>
        </w:tc>
        <w:tc>
          <w:tcPr>
            <w:tcW w:type="dxa" w:w="368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Аналіз сценаріїв атак державних угруповань на ланцюг постачання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MEHARI</w:t>
            </w:r>
          </w:p>
        </w:tc>
        <w:tc>
          <w:tcPr>
            <w:tcW w:type="dxa" w:w="368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Методика CLUSIF з базою знань для аудиту вразливостей і вибору заходів</w:t>
            </w:r>
          </w:p>
        </w:tc>
        <w:tc>
          <w:tcPr>
            <w:tcW w:type="dxa" w:w="368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Довідково: перевірка повноти заходів за базою знань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STRIDE і дерева атак</w:t>
            </w:r>
          </w:p>
        </w:tc>
        <w:tc>
          <w:tcPr>
            <w:tcW w:type="dxa" w:w="368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Моделювання загроз за шістьма категоріями та деревами сценаріїв атак (лекція 3)</w:t>
            </w:r>
          </w:p>
        </w:tc>
        <w:tc>
          <w:tcPr>
            <w:tcW w:type="dxa" w:w="368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Ідентифікація загроз для етапу 2 CRAMM (табл. 2.4)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Аналіз впливу на бізнес (BIA)</w:t>
            </w:r>
          </w:p>
        </w:tc>
        <w:tc>
          <w:tcPr>
            <w:tcW w:type="dxa" w:w="368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Критичність процесів, допустимий час простою (RTO) і втрати даних (RPO) (лекція 5)</w:t>
            </w:r>
          </w:p>
        </w:tc>
        <w:tc>
          <w:tcPr>
            <w:tcW w:type="dxa" w:w="368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Оцінки «недоступності» даних на етапі 1 CRAMM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НД ТЗІ 3.7-003-05</w:t>
            </w:r>
          </w:p>
        </w:tc>
        <w:tc>
          <w:tcPr>
            <w:tcW w:type="dxa" w:w="368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Національний порядок створення КСЗІ: обстеження, модель загроз і модель порушника, технічне завдання</w:t>
            </w:r>
          </w:p>
        </w:tc>
        <w:tc>
          <w:tcPr>
            <w:tcW w:type="dxa" w:w="368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Обов’язковий контур: результати CRAMM — вхідні дані для моделі загроз КСЗІ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ТЦК та СП доцільне поєднання: ISO/IEC 27005 як рамка процесу, CRAMM з державним профілем для детального аналізу критичних активів, STRIDE і BIA для ідентифікації загроз і оцінки недоступності, FRAP для швидкого аналізу нових сервісів і НД ТЗІ 3.7-003-05 як обов’язковий національний контур. Відповідно до рекомендацій методички великим організаціям відповідає CRAMM, середнім — FRAP, малим — OCTAVE [1]; районний ТЦК та СП як елемент великої державної системи належить до першої групи.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6" w:name="_Toc000016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 ПЕРЕВАГИ ТА НЕДОЛІКИ МЕТОДИК УПРАВЛІННЯ РИЗИКАМИ ІБ</w:t>
      </w:r>
      <w:bookmarkEnd w:id="16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Переваги й недоліки п’яти методик, визначених у таблиці 3.2 методичних рекомендацій [1], наведено в табл. 2.8. Оцінки CRAMM узгоджено з досвідом її застосування [6], OCTAVE — з описом підходу розробниками [19].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2.8 — Переваги та недоліки методик з управління ризиками ІБ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8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Методика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Переваги</w:t>
            </w:r>
          </w:p>
        </w:tc>
        <w:tc>
          <w:tcPr>
            <w:tcW w:type="dxa" w:w="379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Недоліки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CRAMM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поєднання кількісних і якісних оцінок; велика бібліотека контрзаходів; державний профіль; економічне обґрунтування витрат</w:t>
            </w:r>
          </w:p>
        </w:tc>
        <w:tc>
          <w:tcPr>
            <w:tcW w:type="dxa" w:w="379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потребує спеціального засобу та підготовленого аналітика; платна ліцензія; оцінки за найгіршим сценарієм можуть завищувати ризик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COBIT 5 for Risk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зв’язує ризики з врядуванням і цілями організації; узгоджений з COBIT 5</w:t>
            </w:r>
          </w:p>
        </w:tc>
        <w:tc>
          <w:tcPr>
            <w:tcW w:type="dxa" w:w="379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 містить детальної процедури розрахунку ризиків; потребує зрілих ІТ-процесів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FRAP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швидкість і простота; не потребує спеціальних засобів; залучає власників процесів</w:t>
            </w:r>
          </w:p>
        </w:tc>
        <w:tc>
          <w:tcPr>
            <w:tcW w:type="dxa" w:w="379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суб’єктивність групових оцінок; лише якісний результат; залежність від фасилітатора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NIST SP 800-30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детальна загальнодоступна настанова; шкали й приклади; узгодження з NIST CSF</w:t>
            </w:r>
          </w:p>
        </w:tc>
        <w:tc>
          <w:tcPr>
            <w:tcW w:type="dxa" w:w="379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орієнтація на федеральні системи США; трудомісткість для малих організацій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OCTAVE</w:t>
            </w:r>
          </w:p>
        </w:tc>
        <w:tc>
          <w:tcPr>
            <w:tcW w:type="dxa" w:w="374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безкоштовність; самостійне виконання працівниками; фокус на критичних активах</w:t>
            </w:r>
          </w:p>
        </w:tc>
        <w:tc>
          <w:tcPr>
            <w:tcW w:type="dxa" w:w="379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велика кількість робочих аркушів; якісні шкали без фінансової точності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Порівняння показує, що жодна методика не є універсальною: CRAMM найповніша, але найдорожча; FRAP і OCTAVE швидкі, але якісні; NIST SP 800-30 і COBIT 5 for Risk є радше рамками, ніж готовими інструментами розрахунку. Для ТЦК та СП це обґрунтовує комбінований підхід, описаний у розділі 6.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7" w:name="_Toc000017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 ВІДПОВІДІ НА ПИТАННЯ ДЛЯ САМОПЕРЕВІРКИ</w:t>
      </w:r>
      <w:bookmarkEnd w:id="17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Питання 1. За допомогою яких механізмів здійснюється управління ризиками на підприємстві?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Відповідь. Політика й критерії прийняття ризиків, призначення власників ризиків, методика оцінювання (у ТЦК та СП — CRAMM), реєстр ризиків, план обробки з контрзаходами, моніторинг, внутрішній аудит і аналіз керівництвом (розділ 2.2, табл. 2.6).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Питання 2. Що є управлінням інформаційною безпекою?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Відповідь. Це частина загальної системи управління підприємством: скоординована діяльність керівництва на стратегічному, тактичному й операційному рівнях, спрямована на досягнення цілей конфіденційності, цілісності й доступності через управління ризиками (рис. 2.3).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Питання 3. Основні положення методології CRAMM?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Відповідь. Три етапи: ідентифікація й оцінка активів (1–10), оцінка загроз (5 рівнів) і вразливостей (3 рівні) з мірою ризику 1–7, вибір контрзаходів з бібліотеки за аспектами безпеки. Методика поєднує кількісні й якісні оцінки, має профілі для комерційних і державних організацій (розділ 4).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Питання 4. Що таке ресурси, загрози, вразливості?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Відповідь. Ресурси (активи) — дані, ПЗ, обладнання, приміщення, персонал і процеси, що мають цінність; загроза — потенційна небезпека для ресурсу; вразливість — слабке місце, через яке загроза може реалізуватися. Приклад для ТЦК та СП: відомості Реєстру — фішинг — відсутність MFA (табл. 2.4).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8" w:name="_Toc000018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ВИСНОВКИ</w:t>
      </w:r>
      <w:bookmarkEnd w:id="18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 лабораторній роботі досліджено процес управління ризиками кібернетичної безпеки військкомату — районного ТЦК та СП — за методикою CRAMM.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1) Розкрито поняття ризику, загрози, вразливості та управління ризиками і чотири способи обробки ризиків з прикладами для ТЦК та СП.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2) Описано процес управління ризиками за ISO/IEC 27005 і ISO 31000 з двома точками рішень і наповненням кожного етапу для ТЦК та СП (табл. 2.1).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3) Застосовано три етапи CRAMM: оцінено 6 груп даних і 5 груп ПЗ та фізичних активів; 9 з 11 мають цінність 8 і вище, тому потрібен детальний аналіз.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4) Для 10 загроз обчислено міру ризику: найвища — R = 7 (З-01, цільовий фішинг), міру 6 мають 3, прийнятну міру 4 — 2.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5) Сформовано 12 аспектів управлінської роботи на чотирьох рівнях і таблицю з 12 методик з обґрунтуванням їх застосування; порівняно переваги й недоліки п’яти методик.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Аналіз результатів показує, що для ТЦК та СП найважливіші не окремі технічні засоби, а заходи, які одночасно перекривають кілька загроз (багатофакторна автентифікація, сегментація, EDR), і процедурний контроль змін записів Реєстру. CRAMM дала змогу обґрунтувати цей пріоритет кількісно, а комбінація з ISO/IEC 27005 і НД ТЗІ 3.7-003-05 забезпечує відповідність як міжнародним практикам, так і національним вимогам.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9" w:name="_Toc000019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СПИСОК ВИКОРИСТАНИХ ДЖЕРЕЛ</w:t>
      </w:r>
      <w:bookmarkEnd w:id="19"/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Борисенко І. І., Гладка М. В. Кібернетична безпека підприємства : рекомендації до виконання лабораторних робіт для здобувачів освітнього ступеня «бакалавр» спеціальності 126 «Інформаційні системи та технології». Київ : КНУ імені Тараса Шевченка, 2025. 33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Про затвердження Положення про територіальні центри комплектування та соціальної підтримки : постанова Кабінету Міністрів України від 23.02.2022 № 154. URL: https://zakon.rada.gov.ua/laws/show/154-2022-п (дата звернення: 25.10.2026).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Кіберзагрози, вразливості та моделювання атак на підприємство : лекція 3 з дисципліни «Кібернетична безпека підприємства». Київ : КНУ імені Тараса Шевченка, 2026.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ISO 31000:2018. Risk management — Guidelines. Geneva : ISO, 2018.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ISO/IEC 27005:2022. Information security, cybersecurity and privacy protection — Guidance on managing information security risks. Geneva : ISO, 2022.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6. Yazar Z. A qualitative risk analysis and management tool — CRAMM : GSEC practical assignment. SANS Institute, 2002. URL: https://www.giac.org/paper/gsec/1746/qualitative-risk-analysis-management-tool-cramm/103133 (дата звернення: 25.10.2026).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7. ISO/IEC 27001:2022. Information security, cybersecurity and privacy protection — Information security management systems — Requirements. Geneva : ISO, 2022.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8. Risk Management: Implementation principles and Inventories for Risk Management/Risk Assessment methods and tools. Heraklion : ENISA, 2006. URL: https://www.enisa.europa.eu/sites/default/files/publications/D1_Inventory_of_Methods_Risk_Management_Final.pdf (дата звернення: 25.10.2026).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9. Про захист персональних даних : Закон України від 01.06.2010 № 2297-VI. URL: https://zakon.rada.gov.ua/laws/show/2297-17 (дата звернення: 25.10.2026).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10. Про Єдиний державний реєстр призовників, військовозобов’язаних та резервістів : Закон України від 16.03.2017 № 1951-VIII. URL: https://zakon.rada.gov.ua/laws/show/1951-19 (дата звернення: 25.10.2026).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11. Про основні засади забезпечення кібербезпеки України : Закон України від 05.10.2017 № 2163-VIII. URL: https://zakon.rada.gov.ua/laws/show/2163-19 (дата звернення: 25.10.2026).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12. НД ТЗІ 3.7-003-05. Порядок проведення робіт із створення комплексної системи захисту інформації в інформаційно-телекомунікаційній системі. Київ : ДСТСЗІ СБ України, 2005.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13. Порушник у системі кібернетичної безпеки підприємства : лекція 4 з дисципліни «Кібернетична безпека підприємства». Київ : КНУ імені Тараса Шевченка, 2026.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14. Організаційний та процедурний рівень кібернетичної безпеки підприємства : лекція 5 з дисципліни «Кібернетична безпека підприємства». Київ : КНУ імені Тараса Шевченка, 2026.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15. Guide for Conducting Risk Assessments : NIST Special Publication 800-30 Revision 1. Gaithersburg : National Institute of Standards and Technology, 2012. 95 p.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16. COBIT 5 for Risk. Rolling Meadows : ISACA, 2013.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17. Caralli R. A., Stevens J. F., Young L. R., Wilson W. R. Introducing OCTAVE Allegro: Improving the Information Security Risk Assessment Process : CMU/SEI-2007-TR-012. Pittsburgh : Software Engineering Institute, 2007. 154 p. URL: https://courses.cs.ttu.ee/w/images/a/a3/OCTAVE.pdf (дата звернення: 25.10.2026).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18. Peltier T. R. Information Security Risk Analysis. 3rd ed. Boca Raton : CRC Press, 2010.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19. Alberts C., Dorofee A. Managing Information Security Risks: The OCTAVE Approach. Boston : Addison-Wesley, 2002. 471 p.</w:t>
      </w:r>
    </w:p>
    <w:sectPr>
      <w:footerReference w:type="default" r:id="rId8"/>
      <w:headerReference w:type="default" r:id="rId9"/>
      <w:footnotePr/>
      <w:endnotePr/>
      <w:pgSz w:h="16838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line="240" w:lineRule="auto" w:before="0" w:after="0"/>
      <w:ind w:firstLine="0" w:left="0"/>
      <w:jc w:val="center"/>
    </w:pPr>
    <w:r>
      <w:rPr>
        <w:rFonts w:ascii="Times New Roman" w:hAnsi="Times New Roman" w:cs="Times New Roman" w:eastAsia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header" Target="head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Петро Кравченко</dc:creator>
  <cp:revision>4</cp:revision>
  <dcterms:modified xsi:type="dcterms:W3CDTF">2026-10-04T14:32:10Z</dcterms:modified>
  <dc:title>Лабораторна робота №2. Аналіз процесу управління ризиками кібернетичної безпеки військкомату (ТЦК та СП) за методикою CRAMM</dc:title>
  <dc:subject>Кібернетична безпека підприємства</dc:subject>
  <dc:language>uk-UA</dc:language>
</cp:coreProperties>
</file>