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9" w:lineRule="auto"/>
      </w:pPr>
      <w:r>
        <w:rPr>
          <w:rFonts w:ascii="Times New Roman" w:hAnsi="Times New Roman" w:eastAsia="Times New Roman"/>
          <w:b w:val="0"/>
          <w:i/>
          <w:color w:val="595959"/>
          <w:sz w:val="21"/>
        </w:rPr>
        <w:t>СЦЕНАРІЙ ДЕМОНСТРАЦІЇ · ЛР 2 · Аналіз процесу управління ризиками (CRAMM)</w:t>
      </w:r>
    </w:p>
    <w:p>
      <w:pPr>
        <w:spacing w:before="0" w:after="120" w:line="269" w:lineRule="auto"/>
      </w:pPr>
      <w:r>
        <w:rPr>
          <w:rFonts w:ascii="Times New Roman" w:hAnsi="Times New Roman" w:eastAsia="Times New Roman"/>
          <w:b/>
          <w:i w:val="0"/>
          <w:sz w:val="34"/>
        </w:rPr>
        <w:t>ЛР 2: Аналіз процесу управління ризиками (CRAMM)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Дисципліна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Кібернетична безпека підприємства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Що відкрити заздалегідь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ЛР2_Кравченко_ІР-31.docx у папці роботи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Тривалість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≈ 7 хв (5 кроків)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Як користуватися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Ліва колонка — що показати на екрані, права — що сказати. Говоріть своїми словами; деталі й відповіді на питання — у суфлерах цієї роботи.</w:t>
            </w:r>
          </w:p>
        </w:tc>
      </w:tr>
    </w:tbl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1. Вступ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ЛР2 з кібербезпеки — аналіз процесу управління ризиками за методикою CRAMM. Об’єкт — умовний районний ТЦК та СП, як у ЛР1.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2. Хід демонстрації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268"/>
            <w:shd w:val="clear" w:color="auto" w:fill="1F3864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3"/>
              </w:rPr>
              <w:t>Крок</w:t>
            </w:r>
          </w:p>
        </w:tc>
        <w:tc>
          <w:tcPr>
            <w:tcW w:type="dxa" w:w="2608"/>
            <w:shd w:val="clear" w:color="auto" w:fill="1F3864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3"/>
              </w:rPr>
              <w:t>Що показати</w:t>
            </w:r>
          </w:p>
        </w:tc>
        <w:tc>
          <w:tcPr>
            <w:tcW w:type="dxa" w:w="4762"/>
            <w:shd w:val="clear" w:color="auto" w:fill="1F3864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3"/>
              </w:rPr>
              <w:t>Що сказати</w:t>
            </w:r>
          </w:p>
        </w:tc>
      </w:tr>
      <w:tr>
        <w:tc>
          <w:tcPr>
            <w:tcW w:type="dxa" w:w="2268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1. Поняття й процес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3864"/>
                <w:sz w:val="22"/>
              </w:rPr>
              <w:t>Розділи 2–3; рис. 2.1; табл. 2.1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Ризик, способи обробки, процес з двома точками рішень і наповнення етапів для ТЦК.</w:t>
            </w:r>
          </w:p>
        </w:tc>
      </w:tr>
      <w:tr>
        <w:tc>
          <w:tcPr>
            <w:tcW w:type="dxa" w:w="2268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2. CRAMM, етап 1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3864"/>
                <w:sz w:val="22"/>
              </w:rPr>
              <w:t>Розділ 4; рис. 2.2; табл. 2.2–2.3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Оцінив цінність даних, ПЗ і фізичних активів; базового рівня недостатньо.</w:t>
            </w:r>
          </w:p>
        </w:tc>
      </w:tr>
      <w:tr>
        <w:tc>
          <w:tcPr>
            <w:tcW w:type="dxa" w:w="2268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3. CRAMM, етапи 2–3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3864"/>
                <w:sz w:val="22"/>
              </w:rPr>
              <w:t>Табл. 2.4–2.5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Міра ризику для 10 загроз (найвища — фішинг, 7) і контрзаходи за групами CRAMM.</w:t>
            </w:r>
          </w:p>
        </w:tc>
      </w:tr>
      <w:tr>
        <w:tc>
          <w:tcPr>
            <w:tcW w:type="dxa" w:w="2268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4. Управлінська робота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3864"/>
                <w:sz w:val="22"/>
              </w:rPr>
              <w:t>Розділ 5; рис. 2.3; табл. 2.6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12 аспектів на чотирьох рівнях управління.</w:t>
            </w:r>
          </w:p>
        </w:tc>
      </w:tr>
      <w:tr>
        <w:tc>
          <w:tcPr>
            <w:tcW w:type="dxa" w:w="2268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5. Методики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3864"/>
                <w:sz w:val="22"/>
              </w:rPr>
              <w:t>Розділи 6–7; табл. 2.7–2.8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Таблиці 3.1 і 3.2 методички, розширені під ТЦК.</w:t>
            </w:r>
          </w:p>
        </w:tc>
      </w:tr>
    </w:tbl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3. Завершення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Висновок: найважливіші заходи — ті, що перекривають кілька загроз, і процедурний контроль змін Реєстру.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