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Аналіз процесу управління ризиками (CRAMM)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Методика CRAMM і її застосування до ТЦК та СП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CRAMM: етап 1 — цінність 1–10; етап 2 — загроза 5 рівнів, вразливість 3 рівні, міра ризику 1–7; етап 3 — контрзаходи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4; рис. 2.2; табл. 2.2–2.5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Головна практична частина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CRAMM — методика британського CCTA, використовується з 1985 року; версія 5 — 2003 рік. Три етапи: оцінка активів, оцінка загроз і вразливостей з мірою ризику, вибір контрзаходів.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2.2 — етапи та шкали.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Цінність 1–10, загроза — 5 градацій, вразливість — 3, міра ризику — 1–7; бібліотека майже 4000 контрзаходів за сімома аспектами безпеки.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2.2 — дані.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Цінність — найбільша з оцінок недоступності, знищення, розголошення, модифікації: Реєстр і мобілізаційні документи — 10.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2.3 — ПЗ і фізичні активи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вартість заміни, але успадковують цінність даних: криптошлюз обробляє Реєстр, тому 10.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Висновок етапу 1: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9 з 11 активів мають цінність 8 і вище — базового рівня мало, потрібен детальний аналіз.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Табл. 2.4 — міра ризику.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Справжня матриця CRAMM не публікується, тому чесно взято монотонну апроксимацію R = 1 + округл(2,5·(V−1)/9 + 2·(T−1)/4 + 1,5·(U−1)/2). Найвища — фішинг З-01 (R = 7); R = 6 — З-02, З-06, З-10; З-07 і З-08 — 4, бо низька вразливість.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Табл. 2.5 — контрзаходи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 групами CRAMM; пріоритет — програмні та комунікаційні заходи, що закривають по 3–4 загрози, і процедурний принцип «чотирьох очей» проти корупційного втручання.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ви не використали оригінальну матрицю CRAMM?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Вона вбудована в платний засіб і не опублікована; апроксимація зберігає ті самі шкали і монотонність — це прямо зазначено у звіті як припущення.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відповідає перший етап CRAMM?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Чи достатньо базового рівня захисту, чи потрібен детальний аналіз; у нас — потрібен.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CRAMM відрізняється від інших методик?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Комбінує кількісні й якісні оцінки, має бібліотеку контрзаходів і державний профіль, але потребує спеціального засобу й навченого аналітика.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Активи й загрози З-01…З-10 узяті з ЛР1 — роботи наскрізні.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