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Аналіз процесу управління ризиками (CRAMM)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Аспекти управлінської роботи щодо забезпечення ІБ у ТЦК та СП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Стратегічний, тактичний, операційний рівні та контроль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рис. 2.3; табл. 2.6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Відповідає на пункт 4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Управлінська робота з ІБ розподілена за рівнями: стратегічний ухвалює рішення й дає ресурси, тактичний робить методики й правила, операційний виконує, контроль звітує вгору.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2.3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чотири рівні: начальник; керівник СУІБ і служба захисту інформації; адміністратор, аналітик, група ІКТ; внутрішній аудит.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2.6 — 12 аспектів</w:t>
      </w:r>
      <w:r>
        <w:rPr>
          <w:rFonts w:ascii="Times New Roman" w:hAnsi="Times New Roman" w:eastAsia="Times New Roman"/>
          <w:b w:val="0"/>
          <w:i w:val="0"/>
          <w:sz w:val="26"/>
        </w:rPr>
        <w:t>: політика, прийнятний ризик, ресурси, ролі, методика CRAMM, класифікація, постачальники, доступ, моніторинг, резервування, навчання, аудит.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Особливість держоргану</w:t>
      </w:r>
      <w:r>
        <w:rPr>
          <w:rFonts w:ascii="Times New Roman" w:hAnsi="Times New Roman" w:eastAsia="Times New Roman"/>
          <w:b w:val="0"/>
          <w:i w:val="0"/>
          <w:sz w:val="26"/>
        </w:rPr>
        <w:t>: обробка персональних даних за законом, Реєстр — окремий закон, повідомлення CERT-UA обов’язкове, плюс КСЗІ за НД ТЗІ 3.7-003-05.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власник ризиків у ТЦК?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Начальник ТЦК та СП; керівник СУІБ — заступник.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пов’язані CRAMM і КСЗІ?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Результати CRAMM — вихідні дані для моделі загроз і моделі порушника КСЗІ.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тактичний рівень відрізняється від операційного?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Тактичний створює методики, правила й ролі; операційний щодня їх виконує — доступ, моніторинг, резервування, навчання.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Розподіл відповідає розділам 5, 6 і 9 ISO/IEC 27001:2022.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