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Аналіз процесу управління ризиками (CRAMM)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Таблиці методик (3.1 і 3.2 методички) і питання для самоперевірки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CRAMM, ISO/IEC 27005, ISO 31000, NIST SP 800-30, COBIT 5 for Risk, OCTAVE, FRAP, EBIOS, MEHARI, STRIDE, BIA, НД ТЗІ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6–8; табл. 2.7–2.8; висновки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Останні два пункти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2.7 — 12 методик з описом і застосуванням саме в ТЦК; табл. 2.8 — переваги й недоліки п’яти методик, які вимагає методичка.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Розширення переліку</w:t>
      </w:r>
      <w:r>
        <w:rPr>
          <w:rFonts w:ascii="Times New Roman" w:hAnsi="Times New Roman" w:eastAsia="Times New Roman"/>
          <w:b w:val="0"/>
          <w:i w:val="0"/>
          <w:sz w:val="26"/>
        </w:rPr>
        <w:t>: ISO/IEC 27005 і ISO 31000 як рамка процесу, STRIDE і BIA з лекцій 3 і 5, НД ТЗІ 3.7-003-05 як обов’язковий національний контур.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Рекомендація методички</w:t>
      </w:r>
      <w:r>
        <w:rPr>
          <w:rFonts w:ascii="Times New Roman" w:hAnsi="Times New Roman" w:eastAsia="Times New Roman"/>
          <w:b w:val="0"/>
          <w:i w:val="0"/>
          <w:sz w:val="26"/>
        </w:rPr>
        <w:t>: великим — CRAMM, середнім — FRAP, малим — OCTAVE; ТЦК як частина великої державної системи — CRAMM.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2.8</w:t>
      </w:r>
      <w:r>
        <w:rPr>
          <w:rFonts w:ascii="Times New Roman" w:hAnsi="Times New Roman" w:eastAsia="Times New Roman"/>
          <w:b w:val="0"/>
          <w:i w:val="0"/>
          <w:sz w:val="26"/>
        </w:rPr>
        <w:t>: CRAMM найповніша, але найдорожча; FRAP і OCTAVE швидкі, але якісні; NIST SP 800-30 і COBIT 5 for Risk — радше рамки.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Розділ 8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відповіді на всі 4 питання самоперевірки.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Яку методику ви б обрали для ТЦК?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Комбінацію: ISO/IEC 27005 як процес, CRAMM для критичних активів, FRAP для нових сервісів, НД ТЗІ для КСЗІ.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ресурси, загрози, вразливості?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Ресурс — те, що має цінність; загроза — потенційна небезпека; вразливість — слабке місце. Приклад: Реєстр — фішинг — відсутність MFA.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Який головний недолік FRAP?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Суб’єктивність групових оцінок і лише якісний результат; якість залежить від фасилітатора.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Факти про CRAMM і OCTAVE перевірено в інвентаризації ENISA 2006 і звіті SEI 2007.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