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Кількісні та якісні методи оцінки активів (OCTAVE, FRAP)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Оцінка ризиків критичного активу за OCTAVE Allegro і FRAP-сесія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Кроки 1–8 Allegro для І-01; дерева загроз; пули; FRAP 3 ×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6; табл. 3.5–3.9; рис. 3.5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ЛР3_Кравченко_ІР-31.docx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Практичне застосування обох методик.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Для критичного активу І-01 пройдено всі 8 кроків OCTAVE Allegro, а для всіх пристроїв — скорочену FRAP-сесію.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3.5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5 сфер впливу з рангами: фінанси 5, навчання 4, приватність 3, право 2, здоров’я 1.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3.6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профіль І-01 і 5 контейнерів.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3.5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4 дерева загроз: люди-технічні засоби, люди-фізичний доступ, технічні проблеми, інші.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3.7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7 сценаріїв; СЗ-1 фішинг: 5·3 + 4·2 + 3·3 + 2·2 + 1·1 = 37, ймовірність висока → пул 1 «зменшити»; пул 2 — 3, пул 3 — 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Табл. 3.8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заходи: FIDO2-ключ, ПЗ лише з офіційних джерел, друга копія кодів тощо.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Табл. 3.9 — FRAP</w:t>
      </w:r>
      <w:r>
        <w:rPr>
          <w:rFonts w:ascii="Times New Roman" w:hAnsi="Times New Roman" w:eastAsia="Times New Roman"/>
          <w:b w:val="0"/>
          <w:i w:val="0"/>
          <w:sz w:val="26"/>
        </w:rPr>
        <w:t>: 10 загроз; пріоритет 1 — 4 (фішинг, крадіжка смартфона, відмова SSD, шахрайський дзвінок). Матриця 3 × 3 прийнята в роботі.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СЗ-1 у пулі 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Бал 37 у діапазоні 30–45 і висока ймовірність — за матрицею SEI це пул 1.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збігаються OCTAVE і FRAP?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Так: обидві ставлять фішинг першим; FRAP ширший, OCTAVE глибший для одного активу.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Які чотири гілки дерев загроз OCTAVE?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Люди з технічними засобами, люди з фізичним доступом, технічні проблеми, інші проблеми.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Різниця балів не має значення — бал лише впорядковує, так сказано в звіті SEI.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