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Кібернетична безпека підприємства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Аналіз видів, критичності та наслідків відмов (FMECA) інформаційної системи військкомату (ТЦК та СП)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A79749">
      <w:pPr>
        <w:pBdr/>
        <w:spacing/>
        <w:ind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Борисенко Ірина Ігорівна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1. МЕТА ТА ЗАВДАННЯ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2. МЕТОД FMEA / FMECA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2.1. Сутність методу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2.2. Показники критичності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2.3. Процес виконання методу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2.4. Вхідні та вихідні дані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2.5. Переваги та недоліки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3. СФЕРА ЗАСТОСУВАННЯ FMEA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4. ФУНКЦІОНАЛЬНА СХЕМА ІНФОРМАЦІЙНОЇ СИСТЕМИ ТЦК ТА СП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0" w:history="1">
        <w:r>
          <w:rPr>
            <w:rFonts w:ascii="Times New Roman" w:hAnsi="Times New Roman" w:cs="Times New Roman"/>
            <w:sz w:val="28"/>
            <w:szCs w:val="28"/>
          </w:rPr>
          <w:t xml:space="preserve">4.1. Структура та функції системи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8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1" w:history="1">
        <w:r>
          <w:rPr>
            <w:rFonts w:ascii="Times New Roman" w:hAnsi="Times New Roman" w:cs="Times New Roman"/>
            <w:sz w:val="28"/>
            <w:szCs w:val="28"/>
          </w:rPr>
          <w:t xml:space="preserve">4.2. Поділ системи на частини та елементи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2" w:history="1">
        <w:r>
          <w:rPr>
            <w:rFonts w:ascii="Times New Roman" w:hAnsi="Times New Roman" w:cs="Times New Roman"/>
            <w:sz w:val="28"/>
            <w:szCs w:val="28"/>
          </w:rPr>
          <w:t xml:space="preserve">4.3. Режими роботи системи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3" w:history="1">
        <w:r>
          <w:rPr>
            <w:rFonts w:ascii="Times New Roman" w:hAnsi="Times New Roman" w:cs="Times New Roman"/>
            <w:sz w:val="28"/>
            <w:szCs w:val="28"/>
          </w:rPr>
          <w:t xml:space="preserve">5. FMECA ІНФОРМАЦІЙНОЇ СИСТЕМИ ТЦК ТА СП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4" w:history="1">
        <w:r>
          <w:rPr>
            <w:rFonts w:ascii="Times New Roman" w:hAnsi="Times New Roman" w:cs="Times New Roman"/>
            <w:sz w:val="28"/>
            <w:szCs w:val="28"/>
          </w:rPr>
          <w:t xml:space="preserve">5.1. Шкали оцінювання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5" w:history="1">
        <w:r>
          <w:rPr>
            <w:rFonts w:ascii="Times New Roman" w:hAnsi="Times New Roman" w:cs="Times New Roman"/>
            <w:sz w:val="28"/>
            <w:szCs w:val="28"/>
          </w:rPr>
          <w:t xml:space="preserve">5.2. Таблиця FMECA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6" w:history="1">
        <w:r>
          <w:rPr>
            <w:rFonts w:ascii="Times New Roman" w:hAnsi="Times New Roman" w:cs="Times New Roman"/>
            <w:sz w:val="28"/>
            <w:szCs w:val="28"/>
          </w:rPr>
          <w:t xml:space="preserve">5.3. Наслідки відмов і першопричини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7" w:history="1">
        <w:r>
          <w:rPr>
            <w:rFonts w:ascii="Times New Roman" w:hAnsi="Times New Roman" w:cs="Times New Roman"/>
            <w:sz w:val="28"/>
            <w:szCs w:val="28"/>
          </w:rPr>
          <w:t xml:space="preserve">6. РОЗРАХУНОК RPN І АНАЛІЗ КРИТИЧНОСТІ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8" w:history="1">
        <w:r>
          <w:rPr>
            <w:rFonts w:ascii="Times New Roman" w:hAnsi="Times New Roman" w:cs="Times New Roman"/>
            <w:sz w:val="28"/>
            <w:szCs w:val="28"/>
          </w:rPr>
          <w:t xml:space="preserve">6.1. Ранжування за RPN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9" w:history="1">
        <w:r>
          <w:rPr>
            <w:rFonts w:ascii="Times New Roman" w:hAnsi="Times New Roman" w:cs="Times New Roman"/>
            <w:sz w:val="28"/>
            <w:szCs w:val="28"/>
          </w:rPr>
          <w:t xml:space="preserve">6.2. Матриця критичності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20" w:history="1">
        <w:r>
          <w:rPr>
            <w:rFonts w:ascii="Times New Roman" w:hAnsi="Times New Roman" w:cs="Times New Roman"/>
            <w:sz w:val="28"/>
            <w:szCs w:val="28"/>
          </w:rPr>
          <w:t xml:space="preserve">6.3. Коригувальні дії та повторна оцінка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21" w:history="1">
        <w:r>
          <w:rPr>
            <w:rFonts w:ascii="Times New Roman" w:hAnsi="Times New Roman" w:cs="Times New Roman"/>
            <w:sz w:val="28"/>
            <w:szCs w:val="28"/>
          </w:rPr>
          <w:t xml:space="preserve">7. ВІДПОВІДІ НА ПИТАННЯ ДЛЯ САМОПЕРЕВІРКИ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22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23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Мета роботи — проаналізувати метод FMEA, сферу його застосування, процес виконання, переваги та недоліки [1] і виконати аналіз видів, наслідків і критичності відмов (FMECA) інформаційної системи військкомату — районного територіального центру комплектування та соціальної підтримки (далі — ТЦК та СП) за індивідуальним варіантом № 24 [2].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Завдання роботи відповідно до методичних рекомендацій [1]: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ознайомитися з методом FMEA (розділ 2);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ознайомитися зі сферою застосування FMEA (розділ 3);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розробити функціональну схему досліджуваної системи (розділ 4);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виконати FMECA досліджуваної системи за індивідуальним варіантом (розділ 5);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розробити функціональну схему: проаналізувати структуру й функції системи, поділити її на частини та елементи з урахуванням впливу відмов елементів на відмови системи і рівня деталізації (розділ 4);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6) виконати FMECA: визначити типи відмов і режими роботи, наслідки, критичність і ймовірність, першопричини несправностей, розрахувати коефіцієнт RPN (розділи 5–6).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Пункти 3 і 5 та 4 і 6 завдання збігаються за змістом, тому виконані спільно: пункт 5 деталізує пункт 3, пункт 6 — пункт 4. Відповіді на питання для самоперевірки наведено в розділі 7.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Примітка. ТЦК та СП, його підрозділи, інформаційна система й усі числові оцінки в роботі є умовною навчальною моделлю, побудованою лише на відкритих нормативних джерелах.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МЕТОД FMEA / FMECA</w:t>
      </w:r>
      <w:bookmarkEnd w:id="2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Сутність методу</w:t>
      </w:r>
      <w:bookmarkEnd w:id="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Аналіз видів і наслідків відмов (FMEA — Failure Mode and Effects Analysis) — метод ідентифікації способів відмови компонентів, систем або процесів, які можуть призвести до невиконання призначеної функції [1]. Метод допомагає ідентифікувати всі види відмов частин і компонентів, наслідки відмов для системи, механізми відмови та способи досягнення безвідмовної роботи або пом’якшення наслідків. Розширена версія FMECA (Failure Mode, Effects and Criticality Analysis) додатково оцінює критичність кожного виду відмови — сукупність ознак, що характеризують її наслідки [1].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Чинна редакція міжнародного стандарту методу — IEC 60812:2018 (третє видання, замінило видання 2006 р.): він поширюється на апаратні засоби, програмне забезпечення, процеси з участю людини та їхні інтерфейси, а аналіз називають FMECA, якщо ранжування критичності враховує щонайменше значущість наслідків; у новій редакції наведено альтернативні способи розрахунку RPN і метод матриці критичності [3].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Показники критичності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Методичка описує три загальноприйняті показники [1]: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показник критичності виду відмови — добуток ймовірності наслідків відмови, інтенсивності виду відмови та часу функціонування системи; застосовується, коли ці величини відомі кількісно;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рівень ризику — поєднання наслідків виду відмови та її ймовірності в якісному, змішаному чи кількісному вигляді;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ранг пріоритетності ризику RPN — добуток рангу значущості наслідків (зазвичай 1–10) на ймовірність відмови та можливість виявлення; якщо відмову важко виявити, їй надають першочергового значення.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прикладі методички використано спрощену формулу RPN = критичність × ймовірність [1]. У роботі розраховано обидва показники: RPN = S × O × D (повне визначення) і критичність C = S × O (як у прикладі), де S — значущість наслідків, O — ймовірність виникнення, D — складність виявлення. Порівняння показників дає змогу побачити відмови, небезпечні саме через те, що їх важко виявити.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Процес виконання методу</w:t>
      </w:r>
      <w:bookmarkEnd w:id="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Процес FMEA складається із семи етапів (рис. 4.1) [1]; при виконанні FMECA робоча група додатково класифікує кожен вид відмови за критичністю, а після впровадження коригувальних дій систему повторно оцінюють у новому циклі FMEA.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5208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mea_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08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4.1 — Етапи виконання методу FMEA / FMECA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2.4. Вхідні та вихідні дані</w:t>
      </w:r>
      <w:bookmarkEnd w:id="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Вхідні дані — креслення й блок-схеми системи, відомості про функціонування кожного компонента, параметри середовища, результати й хронологія відмов з інтенсивністю [1]. Для ТЦК та СП ними є модель активів і загроз ЛР1, оцінки ризиків CRAMM з ЛР2, функціональна схема (рис. 4.2) та журнали подій SIEM. Вихідні дані — перелік видів відмов, механізмів і наслідків для кожного компонента, а для FMECA — ранжування відмов за критичністю; звіт містить опис системи, способи аналізу, припущення, джерела даних, результати й рекомендації [1].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2.5. Переваги та недоліки</w:t>
      </w:r>
      <w:bookmarkEnd w:id="7"/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4.1 — Переваги та недоліки методу FMEA / FMECA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47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Переваги</w:t>
            </w:r>
          </w:p>
        </w:tc>
        <w:tc>
          <w:tcPr>
            <w:tcW w:type="dxa" w:w="46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Недоліки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застосовний до відмов обладнання, програмного забезпечення, процесів і помилок персоналу</w:t>
            </w:r>
          </w:p>
        </w:tc>
        <w:tc>
          <w:tcPr>
            <w:tcW w:type="dxa" w:w="46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аналізує лише окремі відмови, а не їх поєднання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подає види відмов, причини й наслідки у зручній табличній формі</w:t>
            </w:r>
          </w:p>
        </w:tc>
        <w:tc>
          <w:tcPr>
            <w:tcW w:type="dxa" w:w="46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 контролю спрямованості трудомісткий і дорогий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дає змогу уникнути дорогих модифікацій, виявивши проблеми на етапі проєктування</w:t>
            </w:r>
          </w:p>
        </w:tc>
        <w:tc>
          <w:tcPr>
            <w:tcW w:type="dxa" w:w="46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тривалий для складних багаторівневих систем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виявляє відмови в окремій точці й обґрунтовує резервування</w:t>
            </w:r>
          </w:p>
        </w:tc>
        <w:tc>
          <w:tcPr>
            <w:tcW w:type="dxa" w:w="464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RPN — порядкова величина: однакові добутки можуть мати різний зміст</w:t>
            </w:r>
          </w:p>
        </w:tc>
      </w:tr>
      <w:tr>
        <w:trPr>
          <w:cantSplit w:val="true"/>
        </w:trPr>
        <w:tc>
          <w:tcPr>
            <w:tcW w:type="dxa" w:w="470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дає вхідні дані для програм моніторингу та аналізу дерева несправностей</w:t>
            </w:r>
          </w:p>
        </w:tc>
        <w:tc>
          <w:tcPr>
            <w:tcW w:type="dxa" w:w="464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оцінки S, O, D експертні та суб’єктивні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Перші три рядки обох стовпців відповідають методичці [1]; останні два недоліки сформульовано за результатами виконання роботи й узгоджено з тим, що IEC 60812:2018 пропонує альтернативи простому добутку RPN [3].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СФЕРА ЗАСТОСУВАННЯ FMEA</w:t>
      </w:r>
      <w:bookmarkEnd w:id="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Залежно від об’єкта дослідження виділяють FMEA проєкту (продукції), процесу (виробничі й складальні процеси), системи, послуги та програмного забезпечення [1]. Метод застосовують на стадіях проєктування, виробництва й експлуатації; найбільш ефективні зміни на стадії проєктування. FMEA/FMECA використовують для вибору надійніших варіантів проєкту, дослідження всіх видів відмов, ідентифікації наслідків помилок персоналу, планування перевірок і обслуговування, поліпшення процедур і як джерело даних для аналізу дерева несправностей [1].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кібербезпеки підприємства метод корисний тим, що поєднує відмови обладнання й живлення з навмисними діями порушника та помилками персоналу в одній таблиці. Це відповідає вимозі управління безперервністю: оцінювання ризиків має враховувати кібератаки, відмови обладнання й ПЗ, людські помилки, компрометацію облікових даних і перебої електропостачання, а для IoT-інфраструктури — відмови сенсорів, контролерів і шлюзів [4]. Для ТЦК та СП застосовано FMEA системи (FMECA) у поєднанні з FMEA процесу для процедур, де відмова пов’язана з людиною (В-02, В-07, В-09).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ФУНКЦІОНАЛЬНА СХЕМА ІНФОРМАЦІЙНОЇ СИСТЕМИ ТЦК ТА СП</w:t>
      </w:r>
      <w:bookmarkEnd w:id="9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0" w:name="_Toc00001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4.1. Структура та функції системи</w:t>
      </w:r>
      <w:bookmarkEnd w:id="1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Інформаційна система ТЦК та СП забезпечує процеси, визначені в ЛР1: ведення військового обліку з внесенням даних до Реєстру «Оберіг» як орган ведення [5], оповіщення, медичний огляд ВЛК, прийом громадян та міжвідомчий обмін. Функціональну схему системи подано на рис. 4.2.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58943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unction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894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4.2 — Функціональна схема інформаційної системи ТЦК та СП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Суцільні стрілки на рис. 4.2 — потоки даних (двосторонні — обмін), пунктирні — керування доступом і передавання подій безпеки; підсистема ПС-6 живить усі інші. Критичний шлях даних: АРМ обліку (Е-01) → комутатори (Е-07) → міжмережевий екран (Е-08) → криптошлюз (Е-09) → канал (Е-10) → Реєстр. Відмова будь-якого елемента цього шляху зупиняє обмін з Реєстром.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1" w:name="_Toc00001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4.2. Поділ системи на частини та елементи</w:t>
      </w:r>
      <w:bookmarkEnd w:id="1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Систему поділено на 6 підсистем і 16 елементів (рис. 4.3, табл. 4.2). Рівень деталізації обрано так, щоб відмова кожного елемента окремо впливала на функцію системи: для FMEA системи в цілому елементи визначають на укрупненому рівні блоків і підсистем [1]. Наприклад, окремі АРМ операторів не виокремлено — їхні відмови однотипні й охоплені елементом Е-01.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55744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com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574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4.3 — Поділ інформаційної системи ТЦК та СП на підсистеми та елементи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4.2 — Елементи інформаційної системи ТЦК та СП та їх функції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Підсистема</w:t>
            </w:r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Код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Елемент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Функція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ПС-1 Збирання та введення даних</w:t>
            </w:r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Е-01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АРМ операторів військового обліку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введення й зміна записів Реєстру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Е-02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АРМ військово-лікарської комісії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оформлення висновків ВЛК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Е-03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Біометричний комплекс (сканер, камера)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фотофіксація та дактилоскопія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ПС-2 Обробка та зберігання</w:t>
            </w:r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Е-04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Сервер документообігу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реєстрація та зберігання документів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Е-05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Сховище даних (СКБД, файлове сховище)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зберігання справ і висновків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Е-06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Система резервного копіювання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копії даних і відновлення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ПС-3 Мережа та обмін</w:t>
            </w:r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Е-07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Комутатори ЛОМ з VLAN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з’єднання АРМ і серверів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Е-08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Міжмережевий екран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фільтрація трафіку між зонами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Е-09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Криптошлюз КЗІ (VPN до Реєстру)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захищений обмін з Реєстром і відомствами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73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Е-10</w:t>
            </w:r>
          </w:p>
        </w:tc>
        <w:tc>
          <w:tcPr>
            <w:tcW w:type="dxa" w:w="334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Канал провайдера</w:t>
            </w:r>
          </w:p>
        </w:tc>
        <w:tc>
          <w:tcPr>
            <w:tcW w:type="dxa" w:w="334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доступ до інтернету й відомчої мережі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Продовження таблиці 4.2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Підсистема</w:t>
            </w:r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Код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Елемент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Функція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ПС-4 Сервіси для громадян</w:t>
            </w:r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Е-11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Вебсервіс електронної черги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запис громадян на прийом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Е-12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Телефонна лінія та засоби оповіщення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оповіщення та консультації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ПС-5 Безпека та моніторинг</w:t>
            </w:r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Е-13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Служба каталогів і MFA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автентифікація та права доступу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Е-14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SIEM і захищені журнали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збирання подій, виявлення інцидентів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Е-15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EDR на кінцевих пристроях</w:t>
            </w:r>
          </w:p>
        </w:tc>
        <w:tc>
          <w:tcPr>
            <w:tcW w:type="dxa" w:w="334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виявлення шкідливого ПЗ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ПС-6 Енергоживлення</w:t>
            </w:r>
          </w:p>
        </w:tc>
        <w:tc>
          <w:tcPr>
            <w:tcW w:type="dxa" w:w="73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Е-16</w:t>
            </w:r>
          </w:p>
        </w:tc>
        <w:tc>
          <w:tcPr>
            <w:tcW w:type="dxa" w:w="334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ДБЖ і генератор</w:t>
            </w:r>
          </w:p>
        </w:tc>
        <w:tc>
          <w:tcPr>
            <w:tcW w:type="dxa" w:w="334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безперервне живлення серверної та АРМ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2" w:name="_Toc00001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4.3. Режими роботи системи</w:t>
      </w:r>
      <w:bookmarkEnd w:id="1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Відмови аналізуються в чотирьох режимах роботи (табл. 4.3); для кожного виду відмови в табл. 4.5 зазначено режим, у якому вона найімовірніша або найнебезпечніша.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4.3 — Режими роботи інформаційної системи ТЦК та СП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8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Режим</w:t>
            </w:r>
          </w:p>
        </w:tc>
        <w:tc>
          <w:tcPr>
            <w:tcW w:type="dxa" w:w="6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Характеристика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Р1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Штатний</w:t>
            </w:r>
          </w:p>
        </w:tc>
        <w:tc>
          <w:tcPr>
            <w:tcW w:type="dxa" w:w="6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робочі години, звичайне навантаження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Р2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Піковий</w:t>
            </w:r>
          </w:p>
        </w:tc>
        <w:tc>
          <w:tcPr>
            <w:tcW w:type="dxa" w:w="6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масове оповіщення, черги, навантаження у 3–5 разів вище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Р3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Аварійний</w:t>
            </w:r>
          </w:p>
        </w:tc>
        <w:tc>
          <w:tcPr>
            <w:tcW w:type="dxa" w:w="65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відключення електроенергії, обстріл, втрата каналу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Р4</w:t>
            </w:r>
          </w:p>
        </w:tc>
        <w:tc>
          <w:tcPr>
            <w:tcW w:type="dxa" w:w="198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Обслуговування</w:t>
            </w:r>
          </w:p>
        </w:tc>
        <w:tc>
          <w:tcPr>
            <w:tcW w:type="dxa" w:w="65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оновлення ПЗ, заміна обладнання, зміна конфігурації</w:t>
            </w:r>
          </w:p>
        </w:tc>
      </w:tr>
    </w:tbl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3" w:name="_Toc00001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FMECA ІНФОРМАЦІЙНОЇ СИСТЕМИ ТЦК ТА СП</w:t>
      </w:r>
      <w:bookmarkEnd w:id="13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4" w:name="_Toc00001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Шкали оцінювання</w:t>
      </w:r>
      <w:bookmarkEnd w:id="1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Значущість наслідків S, ймовірність O і складність виявлення D оцінено за десятибальними шкалами (табл. 4.4). Ймовірність узгоджено з частотою подій, а значущість — з наслідками для громадян і процесів ТЦК та СП.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4.4 — Шкали оцінювання S, O, 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Показник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Бал</w:t>
            </w:r>
          </w:p>
        </w:tc>
        <w:tc>
          <w:tcPr>
            <w:tcW w:type="dxa" w:w="64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Опис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 — значущість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9–10</w:t>
            </w:r>
          </w:p>
        </w:tc>
        <w:tc>
          <w:tcPr>
            <w:tcW w:type="dxa" w:w="64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 всієї системи або порушення прав громадян, витік даних особливих категорій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7–8</w:t>
            </w:r>
          </w:p>
        </w:tc>
        <w:tc>
          <w:tcPr>
            <w:tcW w:type="dxa" w:w="64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зупинка процесу одного відділення, серйозні наслідки для громадян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4–6</w:t>
            </w:r>
          </w:p>
        </w:tc>
        <w:tc>
          <w:tcPr>
            <w:tcW w:type="dxa" w:w="64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погіршення роботи, затримки, обхідні способи існують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1–3</w:t>
            </w:r>
          </w:p>
        </w:tc>
        <w:tc>
          <w:tcPr>
            <w:tcW w:type="dxa" w:w="64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незначний вплив, користувачі майже не помічають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 — ймовірність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9–10</w:t>
            </w:r>
          </w:p>
        </w:tc>
        <w:tc>
          <w:tcPr>
            <w:tcW w:type="dxa" w:w="64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кілька разів на місяць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7–8</w:t>
            </w:r>
          </w:p>
        </w:tc>
        <w:tc>
          <w:tcPr>
            <w:tcW w:type="dxa" w:w="64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щомісяця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5–6</w:t>
            </w:r>
          </w:p>
        </w:tc>
        <w:tc>
          <w:tcPr>
            <w:tcW w:type="dxa" w:w="64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кілька разів на рік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3–4</w:t>
            </w:r>
          </w:p>
        </w:tc>
        <w:tc>
          <w:tcPr>
            <w:tcW w:type="dxa" w:w="64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 на рік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1–2</w:t>
            </w:r>
          </w:p>
        </w:tc>
        <w:tc>
          <w:tcPr>
            <w:tcW w:type="dxa" w:w="64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 на кілька років і рідше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 — виявлення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9–10</w:t>
            </w:r>
          </w:p>
        </w:tc>
        <w:tc>
          <w:tcPr>
            <w:tcW w:type="dxa" w:w="64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наявні засоби не виявляють відмову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7–8</w:t>
            </w:r>
          </w:p>
        </w:tc>
        <w:tc>
          <w:tcPr>
            <w:tcW w:type="dxa" w:w="64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виявляється випадково або аудитом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4–6</w:t>
            </w:r>
          </w:p>
        </w:tc>
        <w:tc>
          <w:tcPr>
            <w:tcW w:type="dxa" w:w="6406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виявляється моніторингом з затримкою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</w:p>
        </w:tc>
        <w:tc>
          <w:tcPr>
            <w:tcW w:type="dxa" w:w="90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1–3</w:t>
            </w:r>
          </w:p>
        </w:tc>
        <w:tc>
          <w:tcPr>
            <w:tcW w:type="dxa" w:w="6406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виявляється негайно автоматично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5" w:name="_Toc00001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Таблиця FMECA</w:t>
      </w:r>
      <w:bookmarkEnd w:id="1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кожного елемента визначено типи відмов, першопричини, режим роботи, місцеві наслідки й наслідки для системи та оцінки S, O, D (табл. 4.5). Відмови, пов’язані з навмисними діями (В-01, В-02, В-06, В-12), узгоджено із загрозами З-xx ЛР1; стовпець Р — режим роботи (табл. 4.3).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4.5 — FMECA-аналіз інформаційної системи ТЦК та СП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 w:val="true"/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Код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Елемент: тип відмови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Першопричина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Наслідок для системи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S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O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RPN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В-01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Е-01: компрометація облікового запису оператора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фішинг, відсутність MFA (З-01)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Р1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несанкціоновані зміни й витік даних Реєстру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60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420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В-02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Е-01: несанкціонована зміна запису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корупційне втручання, надмірні права (З-02)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Р1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порушення прав громадян і обліку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36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288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В-03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Е-02: втрата висновку ВЛК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збій збереження, помилка оператора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Р2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повторний огляд, затримка оформлення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В-04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Е-03: відмова біометричного комплексу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апаратна несправність, драйвер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Р2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черга на оформлення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В-05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Е-04: відмова сервера документообігу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відмова диска або ОС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Р1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зупинка документообігу всіх відділень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72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В-06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Е-05: шифрування даних програмою-вимагачем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пласка мережа, вразливість (З-06)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Р1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втрата справ і висновків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180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В-07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Е-06: непридатна резервна копія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відсутність перевірки відновлення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Р4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відновлення після інциденту неможливе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36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324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В-08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Е-07: відмова комутатора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апаратна відмова, перегрів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Р1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частина АРМ не працює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36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В-09</w:t>
            </w:r>
          </w:p>
        </w:tc>
        <w:tc>
          <w:tcPr>
            <w:tcW w:type="dxa" w:w="198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Е-08: помилка правил міжмережевого екрана</w:t>
            </w:r>
          </w:p>
        </w:tc>
        <w:tc>
          <w:tcPr>
            <w:tcW w:type="dxa" w:w="167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ручна зміна без перевірки</w:t>
            </w:r>
          </w:p>
        </w:tc>
        <w:tc>
          <w:tcPr>
            <w:tcW w:type="dxa" w:w="4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Р4</w:t>
            </w:r>
          </w:p>
        </w:tc>
        <w:tc>
          <w:tcPr>
            <w:tcW w:type="dxa" w:w="198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шлях для атаки з ДМЗ у ЛОМ</w:t>
            </w:r>
          </w:p>
        </w:tc>
        <w:tc>
          <w:tcPr>
            <w:tcW w:type="dxa" w:w="42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2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2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8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32</w:t>
            </w:r>
          </w:p>
        </w:tc>
        <w:tc>
          <w:tcPr>
            <w:tcW w:type="dxa" w:w="82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224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Продовження таблиці 4.5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rPr>
          <w:tblHeader w:val="true"/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Код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Елемент: тип відмови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Першопричина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Р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Наслідок для системи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S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O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D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C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RPN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В-10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Е-09: відмова криптошлюзу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збій обладнання, прострочений ключ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Р1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обмін з Реєстром неможливий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81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В-11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Е-10: втрата каналу провайдера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пошкодження лінії, обстріл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Р3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обмін і е-черга недоступні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40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В-12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Е-11: недоступність е-черги (DDoS)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атака хактивістів (З-04)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Р2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громадяни не можуть записатися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В-13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Е-12: збій оповіщення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перевантаження лінії, помилка списку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Р2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зрив оповіщення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140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В-14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Е-13: відмова служби каталогів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збій контролера, помилка оновлення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Р4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зупинка всіх АРМ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54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В-15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Е-14: невиявлення інциденту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неповні правила, перевантаження аналітика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Р1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збільшення збитку від інцидентів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40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320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В-16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Е-15: вимкнення або обхід EDR</w:t>
            </w:r>
          </w:p>
        </w:tc>
        <w:tc>
          <w:tcPr>
            <w:tcW w:type="dxa" w:w="16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привілеї порушника, конфлікт ПЗ</w:t>
            </w:r>
          </w:p>
        </w:tc>
        <w:tc>
          <w:tcPr>
            <w:tcW w:type="dxa" w:w="4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Р1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поширення шкідливого ПЗ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42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48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2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168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В-17</w:t>
            </w:r>
          </w:p>
        </w:tc>
        <w:tc>
          <w:tcPr>
            <w:tcW w:type="dxa" w:w="198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Е-16: відмова живлення</w:t>
            </w:r>
          </w:p>
        </w:tc>
        <w:tc>
          <w:tcPr>
            <w:tcW w:type="dxa" w:w="167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відключення мережі, генератор не запустився</w:t>
            </w:r>
          </w:p>
        </w:tc>
        <w:tc>
          <w:tcPr>
            <w:tcW w:type="dxa" w:w="4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Р3</w:t>
            </w:r>
          </w:p>
        </w:tc>
        <w:tc>
          <w:tcPr>
            <w:tcW w:type="dxa" w:w="198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зупинка всієї системи, ризик пошкодження даних</w:t>
            </w:r>
          </w:p>
        </w:tc>
        <w:tc>
          <w:tcPr>
            <w:tcW w:type="dxa" w:w="42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42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42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48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54</w:t>
            </w:r>
          </w:p>
        </w:tc>
        <w:tc>
          <w:tcPr>
            <w:tcW w:type="dxa" w:w="82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108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6" w:name="_Toc00001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5.3. Наслідки відмов і першопричини</w:t>
      </w:r>
      <w:bookmarkEnd w:id="1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Наслідки варіюються від часткових (черга на оформлення через відмову біометричного комплексу В-04) до критичних (зупинка всієї системи при відмові живлення В-17 або служби каталогів В-14). Першопричини згруповано так: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людський чинник — В-01, В-02, В-03, В-09, В-15 (5 відмов);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організаційні прогалини процедур — В-07, В-10, В-13 (3 відмови);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навмисні атаки — В-06, В-12, В-16 (3 відмови);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апаратні відмови — В-04, В-05, В-08, В-14 (4 відмови);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зовнішня інфраструктура (живлення, зв’язок) — В-11, В-17 (2 відмови);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Отже, понад половину першопричин пов’язано з людьми й процедурами, а не з обладнанням, що узгоджується з висновками ЛР1 і ЛР2.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7" w:name="_Toc00001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РОЗРАХУНОК RPN І АНАЛІЗ КРИТИЧНОСТІ</w:t>
      </w:r>
      <w:bookmarkEnd w:id="17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8" w:name="_Toc00001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6.1. Ранжування за RPN</w:t>
      </w:r>
      <w:bookmarkEnd w:id="1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RPN розраховано як добуток S × O × D (табл. 4.5). Прийнято межі: RPN ≥ 200 — високий пріоритет (дія обов’язкова), 100–199 — середній (дія планова), менше 100 — низький (контроль). Високий пріоритет мають 5 відмов, середній — 4, низький — 8. Перша п’ятірка: В-01 компрометація облікового запису оператора (420); В-07 непридатна резервна копія (324); В-15 невиявлення інциденту (320); В-02 несанкціонована зміна запису (288); В-09 помилка правил міжмережевого екрана (224).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Приклад розрахунку для В-01: RPN = 10 × 6 × 7 = 420; C = 10 × 6 = 60.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9" w:name="_Toc00001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6.2. Матриця критичності</w:t>
      </w:r>
      <w:bookmarkEnd w:id="1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Розміщення відмов у матриці «значущість × ймовірність» (метод матриці критичності IEC 60812:2018 [3]) подано на рис. 4.4; воно відповідає візуальному поданню ефектів і пріоритетів у прикладі методички [1].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riticality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4.4 — Матриця критичності відмов інформаційної системи ТЦК та СП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 критичністю C перші місця посідають В-01 (C = 60) і В-17 (C = 54). Порівняння рангів за C і RPN показує розбіжність для В-11 (місце 3 за C, 15 за RPN), В-16 (місце 13 за C, 7 за RPN), В-17 (місце 2 за C, 9 за RPN). Відмова живлення В-17 критична, але виявляється миттєво (D = 2), тому її RPN помірний; натомість непридатна резервна копія В-07 і невиявлений інцидент В-15 мають помірну критичність, але практично не помічаються без спеціальних перевірок (D = 8–9), що й підносить їх у RPN. Тому відмови з S ≥ 9 і O ≥ 5 (В-01, В-17) також віднесено до обов’язкових для обробки незалежно від RPN.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20" w:name="_Toc00002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6.3. Коригувальні дії та повторна оцінка</w:t>
      </w:r>
      <w:bookmarkEnd w:id="2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кожної відмови визначено коригувальні дії та повторно оцінено S, O, D після їх впровадження (табл. 4.6, рис. 4.5). Дії переважно зменшують ймовірність O і покращують виявлення D; значущість наслідків S без зміни архітектури не змінюється.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4.6 — Коригувальні дії та RPN після їх впровадження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Код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Коригувальна дія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RPN до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S′ O′ D′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RPN після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В-01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MFA для всіх операторів, навчання протидії фішингу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420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10 3 4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120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В-07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щомісячне тестове відновлення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324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9 2 3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54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В-15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правила кореляції, черговий аналітик, взаємодія з CERT-UA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320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8 3 4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96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В-02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принцип «чотирьох очей», щоденна вибірка змін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288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9 2 3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54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В-09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керування змінами, автоматична перевірка правил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224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8 2 3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48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В-06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сегментація, EDR, офлайн-копії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180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10 2 3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60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В-16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захист від вимкнення, сповіщення SIEM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168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8 2 3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48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В-13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дублювання каналів, контроль доставки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140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7 2 3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42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В-17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щотижневий тест генератора, запас пального, коректне вимкнення від ДБЖ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108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9 3 1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27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В-10</w:t>
            </w:r>
          </w:p>
        </w:tc>
        <w:tc>
          <w:tcPr>
            <w:tcW w:type="dxa" w:w="532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резервний криптошлюз, контроль строків ключів</w:t>
            </w:r>
          </w:p>
        </w:tc>
        <w:tc>
          <w:tcPr>
            <w:tcW w:type="dxa" w:w="90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81</w:t>
            </w:r>
          </w:p>
        </w:tc>
        <w:tc>
          <w:tcPr>
            <w:tcW w:type="dxa" w:w="136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9 2 2</w:t>
            </w:r>
          </w:p>
        </w:tc>
        <w:tc>
          <w:tcPr>
            <w:tcW w:type="dxa" w:w="10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36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Продовження таблиці 4.6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Код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Коригувальна дія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RPN до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S′ O′ D′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RPN після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В-03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автозбереження, контроль повноти справи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72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6 2 2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24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В-05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кластер або холодний резерв, RAID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72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8 2 2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32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В-12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анти-DDoS-фільтр провайдера, WAF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60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5 3 2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30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В-14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другий контролер, план відкату оновлень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54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9 1 2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18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В-11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резервний канал іншого провайдера / супутниковий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40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8 2 1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16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В-08</w:t>
            </w:r>
          </w:p>
        </w:tc>
        <w:tc>
          <w:tcPr>
            <w:tcW w:type="dxa" w:w="5329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запасний комутатор, моніторинг стану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36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6 2 1</w:t>
            </w:r>
          </w:p>
        </w:tc>
        <w:tc>
          <w:tcPr>
            <w:tcW w:type="dxa" w:w="102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12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В-04</w:t>
            </w:r>
          </w:p>
        </w:tc>
        <w:tc>
          <w:tcPr>
            <w:tcW w:type="dxa" w:w="5329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резервний комплект обладнання</w:t>
            </w:r>
          </w:p>
        </w:tc>
        <w:tc>
          <w:tcPr>
            <w:tcW w:type="dxa" w:w="90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32</w:t>
            </w:r>
          </w:p>
        </w:tc>
        <w:tc>
          <w:tcPr>
            <w:tcW w:type="dxa" w:w="136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4 2 2</w:t>
            </w:r>
          </w:p>
        </w:tc>
        <w:tc>
          <w:tcPr>
            <w:tcW w:type="dxa" w:w="102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16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59948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pn_ch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94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4.5 — RPN відмов до та після коригувальних дій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Сумарний RPN зменшився з 2619 до 733 (на 72 %). Після дій RPN ≥ 100 зберігають В-01: компрометація облікових записів залишається найбільшим ризиком навіть з MFA, тому її слід переоцінити в наступному циклі FMEA. Найбільший внесок дають щомісячне тестове відновлення копій (В-07), принцип «чотирьох очей» (В-02) і керування змінами правил міжмережевого екрана (В-09) — організаційні заходи, що майже не потребують витрат.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1" w:name="_Toc00002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ВІДПОВІДІ НА ПИТАННЯ ДЛЯ САМОПЕРЕВІРКИ</w:t>
      </w:r>
      <w:bookmarkEnd w:id="2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1. Що допомагає ідентифікувати метод FMEA?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Усі види відмов частин і компонентів системи, їх наслідки для системи, механізми відмов і способи досягнення безвідмовної роботи або пом’якшення наслідків; FMECA додатково — критичність кожного виду відмови (табл. 4.5).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2. У яких сферах застосовується метод FMEA?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Для проєктів і продукції, процесів, систем, послуг і програмного забезпечення на стадіях проєктування, виробництва й експлуатації: вибір надійних варіантів, аналіз помилок персоналу, планування перевірок і обслуговування, підготовка даних для дерева несправностей (розділ 3).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3. Які вхідні дані використовує метод FMEA?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Креслення та блок-схеми системи (рис. 4.2), інформацію про функціонування кожного компонента, параметри середовища, відомості про результати відмов і хронологічні дані з інтенсивністю відмов.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4. Які особливості процесу виконання методу FMEA?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Сім етапів: сфера і цілі, робоча група, вивчення системи, поділ на компоненти, функції, визначення відмов, причин, наслідків і способів виявлення, компенсувальні особливості; для FMECA — оцінка критичності (RPN, C), коригувальні дії й повторний цикл (рис. 4.1).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5. Які переваги та недоліки методу FMEA?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Переваги — охоплення обладнання, ПЗ, процесів і людського чинника, наочна таблична форма, раннє виявлення проблем, обґрунтування резервування; недоліки — аналіз лише одиничних відмов, трудомісткість для складних систем, суб’єктивність оцінок (табл. 4.1).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2" w:name="_Toc00002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2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лабораторній роботі проаналізовано метод FMEA/FMECA та виконано FMECA інформаційної системи військкомату — районного ТЦК та СП.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Розглянуто сутність FMEA і FMECA, показники критичності (C, рівень ризику, RPN), сім етапів процесу, вхідні та вихідні дані, переваги й недоліки, чинний стандарт IEC 60812:2018.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Описано сферу застосування методу й обґрунтовано використання FMEA системи разом з FMEA процесу для кібербезпеки ТЦК та СП.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Розроблено функціональну схему системи та поділ на 6 підсистем і 16 елементів з функціями; визначено 4 режими роботи.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Виконано FMECA для 17 видів відмов з першопричинами, наслідками та оцінками S, O, D; високий пріоритет за RPN мають 5, найбільший RPN — В-01 (420).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Запропоновано коригувальні дії, після яких сумарний RPN зменшився з 2619 до 733.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Аналіз результатів показує, що для інформаційної системи державного органу найнебезпечніші відмови — не апаратні, а приховані: компрометація облікового запису, непридатні резервні копії й невиявлені інциденти. Повний RPN з показником виявлення D розкриває їх краще, ніж критичність S × O, тому для кібербезпеки доцільно використовувати обидва показники разом і переглядати FMECA після кожного суттєвого інциденту чи зміни системи.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3" w:name="_Toc00002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23"/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Борисенко І. І., Гладка М. В. Кібернетична безпека підприємства : рекомендації до виконання лабораторних робіт для здобувачів освітнього ступеня «бакалавр» спеціальності 126 «Інформаційні системи та технології». Київ : КНУ імені Тараса Шевченка, 2025. 33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Про затвердження Положення про територіальні центри комплектування та соціальної підтримки : постанова Кабінету Міністрів України від 23.02.2022 № 154. URL: https://zakon.rada.gov.ua/laws/show/154-2022-п (дата звернення: 25.10.2026).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IEC 60812:2018. Failure modes and effects analysis (FMEA and FMECA). 3rd ed. Geneva : IEC, 2018. URL: https://webstore.iec.ch/publication/26359 (дата звернення: 25.10.2026).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Організаційний та процедурний рівень кібернетичної безпеки підприємства : лекція 5 з дисципліни «Кібернетична безпека підприємства».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Про Єдиний державний реєстр призовників, військовозобов’язаних та резервістів : Закон України від 16.03.2017 № 1951-VIII. URL: https://zakon.rada.gov.ua/laws/show/1951-19 (дата звернення: 25.10.2026).</w:t>
      </w:r>
    </w:p>
    <w:sectPr>
      <w:footerReference w:type="default" r:id="rId8"/>
      <w:headerReference w:type="default" r:id="rId9"/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4</cp:revision>
  <dcterms:modified xsi:type="dcterms:W3CDTF">2026-10-04T14:32:10Z</dcterms:modified>
  <dc:title>Лабораторна робота №4. Аналіз видів, критичності та наслідків відмов (FMECA) інформаційної системи військкомату (ТЦК та СП)</dc:title>
  <dc:subject>Кібернетична безпека підприємства</dc:subject>
  <dc:language>uk-UA</dc:language>
</cp:coreProperties>
</file>