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Аналіз видів, критичності та наслідків відмов (FMECA)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Сфера застосування, функціональна схема та поділ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FMEA проєкту, процесу, системи, послуги, ПЗ; підсистеми ПС-1…ПС-6, елементи Е-01…Е-16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3–4; рис. 4.2–4.3; табл. 4.2–4.3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Пункти 3 і 5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ТЦК застосовано FMEA системи разом з FMEA процесу там, де відмова пов’язана з людиною.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4.2 — функціональна схема</w:t>
      </w:r>
      <w:r>
        <w:rPr>
          <w:rFonts w:ascii="Times New Roman" w:hAnsi="Times New Roman" w:eastAsia="Times New Roman"/>
          <w:b w:val="0"/>
          <w:i w:val="0"/>
          <w:sz w:val="26"/>
        </w:rPr>
        <w:t>: сервіси для громадян, мережа й обмін, введення, обробка й зберігання, безпека й моніторинг, живлення.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Критичний шлях</w:t>
      </w:r>
      <w:r>
        <w:rPr>
          <w:rFonts w:ascii="Times New Roman" w:hAnsi="Times New Roman" w:eastAsia="Times New Roman"/>
          <w:b w:val="0"/>
          <w:i w:val="0"/>
          <w:sz w:val="26"/>
        </w:rPr>
        <w:t>: АРМ обліку → комутатори → міжмережевий екран → криптошлюз → канал → Реєстр.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4.3 і табл. 4.2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6 підсистем, 16 елементів; рівень деталізації — елемент, відмова якого окремо впливає на функцію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4.3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4 режими: штатний, піковий, аварійний, обслуговування.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окремі АРМ не виокремлені?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Їхні відмови однотипні, тому охоплені одним елементом Е-01.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критичний шлях?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Ланцюжок елементів, відмова будь-якого з яких зупиняє обмін з Реєстром: Е-01, Е-07, Е-08, Е-09, Е-10.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види FMEA існують?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FMEA проєкту (продукції), процесу, системи, послуги і програмного забезпечення.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інформаційна система й оцінки умовні, побудовані на відкритих джерелах — про це примітка в розділі 1.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