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Аналіз видів, критичності та наслідків відмов (FMECA)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Розрахунок RPN, матриця критичності, коригувальні дії та питання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RPN ≥ 200 — високий, 100–199 — середній; матриця S × O; S′, O′, D′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6–7; рис. 4.4–4.5; табл. 4.6;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Результат FMECA.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Найбільший RPN — В-01 компрометація облікового запису: 10 × 6 × 7 = 420. Високий пріоритет мають 5 відмов, середній — 4, низький —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4.4 — матриця S × O.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 C перші В-01 (60) і В-17 живлення (54).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Розбіжність C і RPN</w:t>
      </w:r>
      <w:r>
        <w:rPr>
          <w:rFonts w:ascii="Times New Roman" w:hAnsi="Times New Roman" w:eastAsia="Times New Roman"/>
          <w:b w:val="0"/>
          <w:i w:val="0"/>
          <w:sz w:val="26"/>
        </w:rPr>
        <w:t>: живлення В-17 критичне, але виявляється миттєво (D = 2); непридатна копія В-07 і невиявлений інцидент В-15 підносяться в RPN, бо їх майже не видно (D = 8–9).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Правило</w:t>
      </w:r>
      <w:r>
        <w:rPr>
          <w:rFonts w:ascii="Times New Roman" w:hAnsi="Times New Roman" w:eastAsia="Times New Roman"/>
          <w:b w:val="0"/>
          <w:i w:val="0"/>
          <w:sz w:val="26"/>
        </w:rPr>
        <w:t>: відмови з S ≥ 9 і O ≥ 5 (В-01, В-17) обробляються незалежно від RPN.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4.6 і рис. 4.5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після дій сумарний RPN 2619 → 733 (на 72 %); вище 100 лишається лише В-01 (120).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Розділ 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відповіді на 5 питань самоперевірки.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S після дій не змінюється?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Значущість наслідків визначається архітектурою; дії зменшують ймовірність і покращують виявлення.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Який недолік простого RPN?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порядкова величина: однакові добутки можуть мати різний зміст; тому IEC 60812:2018 пропонує альтернативи.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розраховано RPN для В-01?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10 × 6 × 7 = 420; критичність C = 10 × 6 = 60.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Найдешевші дії дали найбільший ефект: тест відновлення, «чотири ока», керування змінами правил.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