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119ED9">
      <w:pPr>
        <w:pBdr/>
        <w:spacing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МІНІСТЕРСТВО ОСВІТИ I НАУКИ УКРАЇНИ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24A9C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КИЇВСЬКИЙ НАЦІОНАЛЬНИЙ УНІВЕРСИТЕТ ІМЕНІ ТАРАСА ШЕВЧЕНКА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0A397E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AA494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ІНФОРМАЦІЙНИХ СИСТЕМ ТА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2FFBB8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  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D8A9E5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Лабораторна робота № </w:t>
      </w:r>
      <w:r>
        <w:rPr>
          <w:rFonts w:ascii="Times New Roman" w:hAnsi="Times New Roman" w:cs="Times New Roman"/>
          <w:b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</w:r>
    </w:p>
    <w:p w14:paraId="19E07F4D"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 дисципліни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b/>
          <w:sz w:val="28"/>
        </w:rPr>
      </w:r>
      <w:r>
        <w:rPr>
          <w:rFonts w:ascii="Times New Roman" w:hAnsi="Times New Roman" w:eastAsia="Times New Roman" w:cs="Times New Roman"/>
          <w:b/>
          <w:sz w:val="28"/>
        </w:rPr>
        <w:t xml:space="preserve">Проєктування інформаційних систем</w:t>
      </w:r>
      <w:r>
        <w:rPr>
          <w:rFonts w:ascii="Times New Roman" w:hAnsi="Times New Roman" w:eastAsia="Times New Roman" w:cs="Times New Roman"/>
          <w:b/>
          <w:sz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905C1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1C88FC">
      <w:pPr>
        <w:pBdr/>
        <w:spacing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Тема: «</w:t>
      </w:r>
      <w:r>
        <w:rPr>
          <w:rFonts w:ascii="Times New Roman" w:hAnsi="Times New Roman" w:eastAsia="Times New Roman" w:cs="Times New Roman"/>
          <w:sz w:val="28"/>
          <w:szCs w:val="28"/>
        </w:rPr>
        <w:t>Побудова моделі роботи підприємства в нотації BPMN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222511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8929217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CB31CD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 Виконав: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B43C91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 студент гр. ІР-31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84BA6D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Петро Кравченко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C4C0C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 Перевірив: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BA42A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Зараховано від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59EC8F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Гладка Мирослава Вікторівна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78369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___________________________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37E8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(підпис викладача)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6CAD3CA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286A18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Київ-2026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sectPr>
          <w:footerReference w:type="first" r:id="rId10"/>
          <w:footerReference w:type="default" r:id="rId11"/>
          <w:headerReference w:type="first" r:id="rId12"/>
          <w:headerReference w:type="default" r:id="rId13"/>
          <w:footnotePr/>
          <w:endnotePr/>
          <w:type w:val="nextPage"/>
          <w:pgSz w:h="16838" w:orient="portrait" w:w="11906"/>
          <w:pgMar w:top="1134" w:right="850" w:bottom="1134" w:left="1701" w:header="709" w:footer="709" w:gutter="0"/>
          <w:cols w:num="1" w:sep="0" w:space="708" w:equalWidth="1"/>
          <w:titlePg/>
        </w:sectPr>
      </w:pPr>
    </w:p>
    <w:p>
      <w:pPr>
        <w:keepNext w:val="0"/>
        <w:widowControl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ЗМІСТ</w:t>
      </w:r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000001" w:history="1">
        <w:r>
          <w:rPr>
            <w:rFonts w:ascii="Times New Roman" w:hAnsi="Times New Roman" w:cs="Times New Roman"/>
            <w:sz w:val="28"/>
            <w:szCs w:val="28"/>
          </w:rPr>
          <w:t xml:space="preserve">МЕТА РОБОТИ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2" w:history="1">
        <w:r>
          <w:rPr>
            <w:rFonts w:ascii="Times New Roman" w:hAnsi="Times New Roman" w:cs="Times New Roman"/>
            <w:sz w:val="28"/>
            <w:szCs w:val="28"/>
          </w:rPr>
          <w:t xml:space="preserve">КОРОТКІ ТЕОРЕТИЧНІ ВІДОМОСТІ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3" w:history="1">
        <w:r>
          <w:rPr>
            <w:rFonts w:ascii="Times New Roman" w:hAnsi="Times New Roman" w:cs="Times New Roman"/>
            <w:sz w:val="28"/>
            <w:szCs w:val="28"/>
          </w:rPr>
          <w:t xml:space="preserve">ХІД ВИКОНАННЯ РОБОТИ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_Toc000003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4" w:history="1">
        <w:r>
          <w:rPr>
            <w:rFonts w:ascii="Times New Roman" w:hAnsi="Times New Roman" w:cs="Times New Roman"/>
            <w:sz w:val="28"/>
            <w:szCs w:val="28"/>
          </w:rPr>
          <w:t xml:space="preserve">1. Створення функціональної моделі роботи підприємства в нотації BPMN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_Toc000004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5" w:history="1">
        <w:r>
          <w:rPr>
            <w:rFonts w:ascii="Times New Roman" w:hAnsi="Times New Roman" w:cs="Times New Roman"/>
            <w:sz w:val="28"/>
            <w:szCs w:val="28"/>
          </w:rPr>
          <w:t xml:space="preserve">2. Виділення кожної функції підприємства як окремого пулу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_Toc000005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6" w:history="1">
        <w:r>
          <w:rPr>
            <w:rFonts w:ascii="Times New Roman" w:hAnsi="Times New Roman" w:cs="Times New Roman"/>
            <w:sz w:val="28"/>
            <w:szCs w:val="28"/>
          </w:rPr>
          <w:t xml:space="preserve">3. Аналіз пулів, доріжок і взаємозв’язків між ролями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_Toc000006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7" w:history="1">
        <w:r>
          <w:rPr>
            <w:rFonts w:ascii="Times New Roman" w:hAnsi="Times New Roman" w:cs="Times New Roman"/>
            <w:sz w:val="28"/>
            <w:szCs w:val="28"/>
          </w:rPr>
          <w:t xml:space="preserve">ГРАФІЧНА ЧАСТИНА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_Toc000007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21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8" w:history="1">
        <w:r>
          <w:rPr>
            <w:rFonts w:ascii="Times New Roman" w:hAnsi="Times New Roman" w:cs="Times New Roman"/>
            <w:sz w:val="28"/>
            <w:szCs w:val="28"/>
          </w:rPr>
          <w:t xml:space="preserve">ВИСНОВКИ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_Toc000008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9" w:history="1">
        <w:r>
          <w:rPr>
            <w:rFonts w:ascii="Times New Roman" w:hAnsi="Times New Roman" w:cs="Times New Roman"/>
            <w:sz w:val="28"/>
            <w:szCs w:val="28"/>
          </w:rPr>
          <w:t xml:space="preserve">СПИСОК ВИКОРИСТАНИХ ДЖЕРЕЛ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_Toc000009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sz w:val="28"/>
          <w:szCs w:val="28"/>
        </w:rPr>
        <w:fldChar w:fldCharType="end"/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" w:name="_Toc00000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МЕТА РОБОТИ</w:t>
      </w:r>
      <w:bookmarkEnd w:id="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Ознайомитися з нотацією BPMN 2.0 та створити функціональну модель діяльності умовного регіонального центру протидронової оборони РЦПДО «Щит-Північ», визначеного в лабораторній роботі № 1: подати кожну окрему функцію центру як окремий пул, а ролі виконавців — як доріжки, і проаналізувати кількість пулів, доріжок і взаємозв’язків між ролями.</w:t>
      </w:r>
    </w:p>
    <w:p>
      <w:pPr>
        <w:pStyle w:val="139"/>
        <w:keepNext/>
        <w:pageBreakBefore w:val="0"/>
        <w:widowControl/>
        <w:spacing w:line="360" w:lineRule="auto" w:before="240" w:after="240"/>
        <w:ind w:firstLine="0" w:left="0"/>
        <w:jc w:val="center"/>
      </w:pPr>
      <w:bookmarkStart w:id="2" w:name="_Toc00000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КОРОТКІ ТЕОРЕТИЧНІ ВІДОМОСТІ</w:t>
      </w:r>
      <w:bookmarkEnd w:id="2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BPMN (Business Process Model and Notation) — графічна нотація для опису бізнес-процесів у вигляді діаграм бізнес-процесів, зрозумілих як бізнес-аналітикам, так і розробникам інформаційних систем. Згідно з лекцією «Моделювання. Види діаграм» модель бізнес-процесів має допускати автоматичну перевірку коректності, формування звітів про склад моделі та обмін моделями між інструментальними засобами; стандарт BPMN 2.0 забезпечує це завдяки формату обміну BPMN XML з графічною інформацією (Diagram Interchange).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Елементи BPMN поділяють на чотири категорії: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об’єкти потоку управління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(події, дії, логічні оператори),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з’єднувальні об’єкти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(потік управління, потік повідомлень, асоціації),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ролі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(пули і доріжки) та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артефакти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(об’єкти даних, групи, текстові анотації). Подію зображують колом: початкова — тонким контуром, проміжна — подвійним, завершальна — жирним; маркер усередині визначає тип події (повідомлення, таймер, сигнал, помилка, посилання, зупинка тощо). Дію зображують прямокутником із заокругленими кутами; маркер у лівому верхньому куті визначає тип завдання (користувацьке, сервісне, відправлення чи отримання повідомлення, ручне).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Логічні оператори (шлюзи) зображують ромбом: виключне «або» (X) спрямовує потік лише однією гілкою, паралельний оператор «і» (+) активує всі гілки одночасно й синхронізує їх, включне «або» (O) активує одну або кілька гілок, а оператор, керований подіями, обирає гілку, на якій першою відбулася подія. Потік управління (суцільна лінія) задає порядок дій усередині пулу; потік повідомлень (штрихова лінія з незафарбованою стрілкою) з’єднує лише різні пули й показує обмін інформацією між учасниками. Пул відображає учасника процесу або окрему функцію, а доріжка — зону відповідальності ролі всередині пулу; згорнутий пул показує зовнішнього учасника як «чорну скриньку».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Події-посилання (link events) використовують як міжсторінкові з’єднання: пара відповідних посилань еквівалентна потоку управління. У цій роботі їх застосовано, щоб розділити великі пули на частини без втрати читабельності діаграм.</w:t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3" w:name="_Toc000003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ХІД ВИКОНАННЯ РОБОТИ</w:t>
      </w:r>
      <w:bookmarkEnd w:id="3"/>
    </w:p>
    <w:p>
      <w:pPr>
        <w:pStyle w:val="140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4" w:name="_Toc000004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Створення функціональної моделі роботи підприємства в нотації BPMN</w:t>
      </w:r>
      <w:bookmarkEnd w:id="4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Об’єктом моделювання є діяльність умовного РЦПДО «Щит-Північ», визначеного в лабораторній роботі № 1 (</w:t>
      </w: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навчальна умовна модель організації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 Модель описує цільовий стан («як має бути») процесів командного пункту та взаємодіючих підрозділів після впровадження IoT-платформи «Щит-Лінк»: завдання з маркером сервісного завдання (шестерня) виконуються платформою автоматично, але відповідальність за них залишається за роллю, у доріжці якої вони розміщені.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Моделі побудовано у форматі BPMN 2.0 XML з графічною інформацією (файли </w:t>
      </w: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.bpmn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каталозі лабораторної роботи) та візуалізовано еталонним засобом bpmn-js (bpmn.io); файли можна відкрити й редагувати в будь-якому BPMN-сумісному редакторі (Camunda Modeler, bpmn.io). Використані елементи нотації наведено в табл. 2.1.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2.1 — Елементи нотації BPMN, використані в моделі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Категорія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Елемент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Застосування в моделі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Події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Початкова подія-повідомлення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Запуск функції після отримання повідомлення від іншого пулу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Проміжна подія-повідомлення (отримання / відправлення)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Очікування підтвердження прийняття завдання; надсилання підтвердження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Проміжна подія-таймер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Тайм-аут 15 с на підтвердження бойового завдання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Події-посилання (А, Б)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Продовження пулу на наступній діаграмі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Завершальна подія (проста, повідомлення)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Завершення гілки процесу; передача результату іншому пулу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Дії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Користувацьке завдання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Дії персоналу з використанням інтерфейсу платформи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Сервісне завдання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Автоматичні операції платформи «Щит-Лінк» (злиття треків, перевірки, облік)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Завдання відправлення повідомлення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бойового завдання, доповідей, звітів і заявок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Ручне завдання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Фізичні роботи: передпольотний контроль, ремонт, повернення перехоплювача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Шлюзи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Виключне «або» (X)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Вибір гілки за умовою (підтверджено, дозволено, є несправності)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Паралельний «і» (+)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Одночасна підготовка маршруту та передпольотний контроль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Включне «або» (O)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Звіт вищому КП завжди та повідомлення ДСНС за наявності уламків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Шлюз, керований подіями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Очікування першої з подій: підтвердження або тайм-аут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Ролі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Пул (розгорнутий / згорнутий)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Функції центру; зовнішні учасники — згорнуті пули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Доріжка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Ролі виконавців відповідно до структурної схеми ЛР1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З’єднання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Потік управління, потік повідомлень, асоціація даних</w:t>
            </w:r>
          </w:p>
        </w:tc>
        <w:tc>
          <w:tcPr>
            <w:tcW w:type="dxa" w:w="432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Порядок дій, обмін між пулами, зв’язок зі сховищами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Артефакти</w:t>
            </w:r>
          </w:p>
        </w:tc>
        <w:tc>
          <w:tcPr>
            <w:tcW w:type="dxa" w:w="3157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Сховище даних</w:t>
            </w:r>
          </w:p>
        </w:tc>
        <w:tc>
          <w:tcPr>
            <w:tcW w:type="dxa" w:w="432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Сховище треків, архів телеметрії, архів місій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Функціональну модель верхнього рівня — карту взаємодії функцій центру із зовнішніми учасниками — подано на рис. 2.1. Кожну функцію показано згорнутим пулом; потоки повідомлень відображають інформаційні обміни, визначені в таблиці функціональних взаємозв’язків ЛР1. Повний цикл перехоплення проходить ланцюжком «Моніторинг → Призначення → Виконання місії → Оцінка результату», а функція забезпечення готовності ресурсів замикає цикл, повертаючи дані про готовність розрахунків.</w:t>
      </w:r>
    </w:p>
    <w:p>
      <w:pPr>
        <w:sectPr>
          <w:footerReference w:type="default" r:id="rId8"/>
          <w:headerReference w:type="default" r:id="rId9"/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3758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interaction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375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2.1 — Функціональна модель верхнього рівня: взаємодія функцій РЦПДО «Щит-Північ»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5" w:name="_Toc000005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Виділення кожної функції підприємства як окремого пулу</w:t>
      </w:r>
      <w:bookmarkEnd w:id="5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Діяльність центру декомпоновано на 5 функцій, кожну з яких змодельовано окремим розгорнутим пулом (табл. 2.2). Ролі в доріжках відповідають посадам і підрозділам зі структурної схеми лабораторної роботи № 1 (табл. 2.3). Пули «Призначення цілі» та «Виконання місії» через їхній обсяг подано двома діаграмами кожен, пов’язаними подіями-посиланнями «А» і «Б».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2.2 — Функції центру, подані окремими пулами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70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Пул (функція)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Процеси ЛР1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Рисунки</w:t>
            </w:r>
          </w:p>
        </w:tc>
      </w:tr>
      <w:tr>
        <w:trPr>
          <w:cantSplit w:val="true"/>
        </w:trPr>
        <w:tc>
          <w:tcPr>
            <w:tcW w:type="dxa" w:w="70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P1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Моніторинг повітряної обстановки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Отримання та верифікація виявлень; класифікація цілі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рис. 2.2</w:t>
            </w:r>
          </w:p>
        </w:tc>
      </w:tr>
      <w:tr>
        <w:trPr>
          <w:cantSplit w:val="true"/>
        </w:trPr>
        <w:tc>
          <w:tcPr>
            <w:tcW w:type="dxa" w:w="70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P2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Призначення цілі та санкціонування пуску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Деконфлікція; призначення розрахунку; санкціонування пуску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рис. 2.3, 2.4</w:t>
            </w:r>
          </w:p>
        </w:tc>
      </w:tr>
      <w:tr>
        <w:trPr>
          <w:cantSplit w:val="true"/>
        </w:trPr>
        <w:tc>
          <w:tcPr>
            <w:tcW w:type="dxa" w:w="70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P3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Виконання місії перехоплення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Підготовка, пуск, наведення, доповідь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рис. 2.5, 2.6</w:t>
            </w:r>
          </w:p>
        </w:tc>
      </w:tr>
      <w:tr>
        <w:trPr>
          <w:cantSplit w:val="true"/>
        </w:trPr>
        <w:tc>
          <w:tcPr>
            <w:tcW w:type="dxa" w:w="70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P4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Оцінка результату та звітність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Оцінка результату, звіти, взаємодія з ДСНС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рис. 2.7</w:t>
            </w:r>
          </w:p>
        </w:tc>
      </w:tr>
      <w:tr>
        <w:trPr>
          <w:cantSplit w:val="true"/>
        </w:trPr>
        <w:tc>
          <w:tcPr>
            <w:tcW w:type="dxa" w:w="70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P5</w:t>
            </w:r>
          </w:p>
        </w:tc>
        <w:tc>
          <w:tcPr>
            <w:tcW w:type="dxa" w:w="350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Забезпечення готовності ресурсів</w:t>
            </w:r>
          </w:p>
        </w:tc>
        <w:tc>
          <w:tcPr>
            <w:tcW w:type="dxa" w:w="339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Післяпольотний контроль, ремонт, облік і поповнення запасів</w:t>
            </w:r>
          </w:p>
        </w:tc>
        <w:tc>
          <w:tcPr>
            <w:tcW w:type="dxa" w:w="175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рис. 2.8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2.3 — Відповідність доріжок ролям структурної схеми підприємства (ЛР1)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31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 (доріжка)</w:t>
            </w:r>
          </w:p>
        </w:tc>
        <w:tc>
          <w:tcPr>
            <w:tcW w:type="dxa" w:w="43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Підрозділ за структурною схемою ЛР1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Пули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сенсорного поста</w:t>
            </w:r>
          </w:p>
        </w:tc>
        <w:tc>
          <w:tcPr>
            <w:tcW w:type="dxa" w:w="43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Відділ розвідки повітряного простору та сенсорних мереж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P1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Аналітик повітряної обстановки</w:t>
            </w:r>
          </w:p>
        </w:tc>
        <w:tc>
          <w:tcPr>
            <w:tcW w:type="dxa" w:w="43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Командний пункт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P1, P4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Оперативний черговий</w:t>
            </w:r>
          </w:p>
        </w:tc>
        <w:tc>
          <w:tcPr>
            <w:tcW w:type="dxa" w:w="43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Командний пункт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P1, P2, P4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Офіцер бойового управління</w:t>
            </w:r>
          </w:p>
        </w:tc>
        <w:tc>
          <w:tcPr>
            <w:tcW w:type="dxa" w:w="43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Командний пункт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P2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Офіцер взаємодії</w:t>
            </w:r>
          </w:p>
        </w:tc>
        <w:tc>
          <w:tcPr>
            <w:tcW w:type="dxa" w:w="43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Сектор взаємодії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P2, P4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Командир розрахунку</w:t>
            </w:r>
          </w:p>
        </w:tc>
        <w:tc>
          <w:tcPr>
            <w:tcW w:type="dxa" w:w="43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Підрозділ дронів-перехоплювачів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P3, P5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(пілот) перехоплювача</w:t>
            </w:r>
          </w:p>
        </w:tc>
        <w:tc>
          <w:tcPr>
            <w:tcW w:type="dxa" w:w="43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Підрозділ дронів-перехоплювачів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P3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 (штурман) розрахунку</w:t>
            </w:r>
          </w:p>
        </w:tc>
        <w:tc>
          <w:tcPr>
            <w:tcW w:type="dxa" w:w="43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Підрозділ дронів-перехоплювачів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P3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 технічної служби</w:t>
            </w:r>
          </w:p>
        </w:tc>
        <w:tc>
          <w:tcPr>
            <w:tcW w:type="dxa" w:w="43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Технічна служба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P5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Логіст служби логістики</w:t>
            </w:r>
          </w:p>
        </w:tc>
        <w:tc>
          <w:tcPr>
            <w:tcW w:type="dxa" w:w="436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Служба логістики</w:t>
            </w:r>
          </w:p>
        </w:tc>
        <w:tc>
          <w:tcPr>
            <w:tcW w:type="dxa" w:w="187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P5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2.1. Пул P1 «Моніторинг повітряної обстановки»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Процес запускається початковою подією-повідомленням від згорнутого пулу «Сенсорна мережа». Оператор сенсорного поста верифікує виявлення; хибні виявлення завершуються простою завершальною подією. Підтверджене виявлення платформа автоматично зливає у трек (сервісне завдання) і записує до сховища треків. Аналітик класифікує ціль і оцінює загрозу; незагрозливі треки залишаються під спостереженням, а ворожу ціль підтверджує оперативний черговий, після чого завершальна подія-повідомлення передає підтверджену ціль до пулу P2. Модель подано на рис. 2.2.</w:t>
      </w:r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2.2. Пул P2 «Призначення цілі та санкціонування пуску»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Після отримання підтвердженої цілі платформа перевіряє зони заборони ураження та плани польотів дружньої авіації. У разі конфлікту офіцер взаємодії надсилає запит на погодження до вищого КП, а перехоплення відкладається. За відсутності конфлікту офіцер бойового управління обирає розрахунок-кандидат, а оперативний черговий санкціонує пуск за правилом двох осіб; відмова повертає процес до вибору розрахунку, дозвіл передає управління частині 2 через подію-посилання «А». Модель подано на рис. 2.3.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частині 2 офіцер бойового управління надсилає бойове завдання розрахунку (завдання відправлення повідомлення) і через шлюз, керований подіями, очікує першої з двох подій: підтвердження прийняття від пулу P3 або спрацювання таймера через 15 с. У першому випадку платформа фіксує призначення, у другому оперативний черговий обирає резервний розрахунок і завдання надсилається повторно. Модель подано на рис. 2.4.</w:t>
      </w:r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2.3. Пул P3 «Виконання місії перехоплення»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Командир розрахунку оцінює можливість виконання отриманого завдання та надсилає до пулу P2 або підтвердження прийняття (проміжна подія відправлення повідомлення), або відмову (завершальна подія-повідомлення). Після прийняття паралельний шлюз одночасно запускає підготовку маршруту й каналу керування оператором і передпольотний контроль технікою; синхронізуючий шлюз чекає завершення обох гілок, після чого подія-посилання «Б» передає управління частині 2. Модель подано на рис. 2.5.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Оператор здійснює пуск і виводить перехоплювач на ціль; телеметрія записується до архіву. Якщо ціль виявлено, оператор підтверджує її у фазі наведення (людина в контурі управління); в іншому разі командир одразу доповідає про результат. Доповідь надсилається до пулу P4, після чого технік повертає або списує перехоплювач. Модель подано на рис. 2.6.</w:t>
      </w:r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2.4. Пул P4 «Оцінка результату та звітність»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Отримавши доповідь, платформа збирає докази (відео та дані сенсорів), аналітик встановлює оцінку результату й зберігає її в архіві місій. Включний шлюз активує одну або дві гілки: звіт вищому КП надсилається завжди, а повідомлення ДСНС про місце падіння — лише за наявності уламків; другий включний шлюз синхронізує активовані гілки. Модель подано на рис. 2.7.</w:t>
      </w:r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2.5. Пул P5 «Забезпечення готовності ресурсів»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Після завершення місії командир розрахунку доповідає про витрату й стан техніки, технік технічної служби проводить післяпольотний контроль і за потреби ремонтує або списує техніку. Платформа оновлює облік запасів і готовності; якщо запас нижчий за норму, логіст надсилає заявку постачальнику. Модель подано на рис. 2.8.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50210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1_monitor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5021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2.2 — Пул «Моніторинг повітряної обстановки»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9644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2_assignment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964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2.3 — Пул «Призначення цілі та санкціонування пуску (частина 1)»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9302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2_assignment_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93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2.4 — Пул «Призначення цілі та санкціонування пуску (частина 2)»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50669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3_mission_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506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2.5 — Пул «Виконання місії перехоплення (частина 1)»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4823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3_mission_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48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2.6 — Пул «Виконання місії перехоплення (частина 2)»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9831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4_assess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983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2.7 — Пул «Оцінка результату та звітність»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1294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5_readi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12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2.8 — Пул «Забезпечення готовності ресурсів»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6" w:name="_Toc000006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 Аналіз пулів, доріжок і взаємозв’язків між ролями</w:t>
      </w:r>
      <w:bookmarkEnd w:id="6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Кількісні характеристики моделі обчислено безпосередньо з BPMN-моделей і наведено в табл. 2.4. Модель містить 5 функціональних пулів (розгорнутих), 4 зовнішніх учасників (згорнуті пули), 10 різних ролей-доріжок, 27 завдань, 22 подій, 13 шлюзів і 3 сховищ даних.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2.4 — Кількісні характеристики пулів моделі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rPr>
          <w:tblHeader w:val="true"/>
          <w:cantSplit w:val="true"/>
        </w:trPr>
        <w:tc>
          <w:tcPr>
            <w:tcW w:type="dxa" w:w="56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Код</w:t>
            </w:r>
          </w:p>
        </w:tc>
        <w:tc>
          <w:tcPr>
            <w:tcW w:type="dxa" w:w="22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Пул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Доріжок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Завдань</w:t>
            </w:r>
          </w:p>
        </w:tc>
        <w:tc>
          <w:tcPr>
            <w:tcW w:type="dxa" w:w="8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Подій</w:t>
            </w:r>
          </w:p>
        </w:tc>
        <w:tc>
          <w:tcPr>
            <w:tcW w:type="dxa" w:w="99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Шлюзів</w:t>
            </w:r>
          </w:p>
        </w:tc>
        <w:tc>
          <w:tcPr>
            <w:tcW w:type="dxa" w:w="11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Потоків управління</w:t>
            </w:r>
          </w:p>
        </w:tc>
        <w:tc>
          <w:tcPr>
            <w:tcW w:type="dxa" w:w="141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Передач між доріжками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P1</w:t>
            </w:r>
          </w:p>
        </w:tc>
        <w:tc>
          <w:tcPr>
            <w:tcW w:type="dxa" w:w="22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Моніторинг повітряної обстановки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8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99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1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141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P2</w:t>
            </w:r>
          </w:p>
        </w:tc>
        <w:tc>
          <w:tcPr>
            <w:tcW w:type="dxa" w:w="22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Призначення цілі та санкціонування пуску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8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99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1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141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5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P3</w:t>
            </w:r>
          </w:p>
        </w:tc>
        <w:tc>
          <w:tcPr>
            <w:tcW w:type="dxa" w:w="22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Виконання місії перехоплення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8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99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1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141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6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P4</w:t>
            </w:r>
          </w:p>
        </w:tc>
        <w:tc>
          <w:tcPr>
            <w:tcW w:type="dxa" w:w="22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Оцінка результату та звітність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8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99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1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141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P5</w:t>
            </w:r>
          </w:p>
        </w:tc>
        <w:tc>
          <w:tcPr>
            <w:tcW w:type="dxa" w:w="22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Забезпечення готовності ресурсів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04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8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99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1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141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26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Разом</w:t>
            </w:r>
          </w:p>
        </w:tc>
        <w:tc>
          <w:tcPr>
            <w:tcW w:type="dxa" w:w="104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104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27</w:t>
            </w:r>
          </w:p>
        </w:tc>
        <w:tc>
          <w:tcPr>
            <w:tcW w:type="dxa" w:w="82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22</w:t>
            </w:r>
          </w:p>
        </w:tc>
        <w:tc>
          <w:tcPr>
            <w:tcW w:type="dxa" w:w="99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119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61</w:t>
            </w:r>
          </w:p>
        </w:tc>
        <w:tc>
          <w:tcPr>
            <w:tcW w:type="dxa" w:w="1417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21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Передача потоку управління з однієї доріжки в іншу означає передачу відповідальності між ролями. Матрицю таких передач наведено в табл. 2.5; всього в моделі 21 передач між доріжками. Обміни між пулами (потоки повідомлень) наведено в табл. 2.6: на детальних діаграмах — 15 потоків повідомлень, на карті взаємодії — 12.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2.5 — Передачі відповідальності між ролями (потоки управління між доріжками)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Від ролі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 ролі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Кількість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Аналітик повітряної обстановки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Оперативний черговий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Офіцер бойового управління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Оперативний черговий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Оперативний черговий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Офіцер бойового управління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(пілот) перехоплювача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Командир розрахунку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 технічної служби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Логіст служби логістики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сенсорного поста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Аналітик повітряної обстановки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Офіцер бойового управління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Офіцер взаємодії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Командир розрахунку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(пілот) перехоплювача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(пілот) перехоплювача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 (штурман) розрахунку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 (штурман) розрахунку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(пілот) перехоплювача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Командир розрахунку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 (штурман) розрахунку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Аналітик повітряної обстановки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Офіцер взаємодії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Оперативний черговий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Аналітик повітряної обстановки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Офіцер взаємодії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Аналітик повітряної обстановки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Командир розрахунку</w:t>
            </w:r>
          </w:p>
        </w:tc>
        <w:tc>
          <w:tcPr>
            <w:tcW w:type="dxa" w:w="3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 технічної служби</w:t>
            </w:r>
          </w:p>
        </w:tc>
        <w:tc>
          <w:tcPr>
            <w:tcW w:type="dxa" w:w="149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Логіст служби логістики</w:t>
            </w:r>
          </w:p>
        </w:tc>
        <w:tc>
          <w:tcPr>
            <w:tcW w:type="dxa" w:w="392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 технічної служби</w:t>
            </w:r>
          </w:p>
        </w:tc>
        <w:tc>
          <w:tcPr>
            <w:tcW w:type="dxa" w:w="1497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2.6 — Потоки повідомлень між пулами (карта взаємодії)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Відправник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Отримувач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Повідомлення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Сенсорна мережа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Моніторинг повітряної обстановки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Виявлення цілей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Вищий командний пункт (Повітряні сили ЗСУ)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Призначення цілі та санкціонування пуску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Плани польотів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Призначення цілі та санкціонування пуску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Вищий командний пункт (Повітряні сили ЗСУ)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Запит на погодження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Оцінка результату та звітність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Вищий командний пункт (Повітряні сили ЗСУ)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Звіт про перехоплення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Моніторинг повітряної обстановки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Призначення цілі та санкціонування пуску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Підтверджена ціль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Призначення цілі та санкціонування пуску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Виконання місії перехоплення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Бойове завдання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Виконання місії перехоплення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Призначення цілі та санкціонування пуску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Прийняття / відмова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Виконання місії перехоплення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Оцінка результату та звітність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Доповідь про результат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Забезпечення готовності ресурсів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Призначення цілі та санкціонування пуску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Готовність розрахунків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Виконання місії перехоплення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Забезпечення готовності ресурсів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Дані про витрату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Оцінка результату та звітність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ДСНС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Координати падіння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Забезпечення готовності ресурсів</w:t>
            </w:r>
          </w:p>
        </w:tc>
        <w:tc>
          <w:tcPr>
            <w:tcW w:type="dxa" w:w="327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Постачальник</w:t>
            </w:r>
          </w:p>
        </w:tc>
        <w:tc>
          <w:tcPr>
            <w:tcW w:type="dxa" w:w="280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на поповнення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Аналіз показує, що найбільше передач між доріжками має пул «Виконання місії перехоплення» (6), що відображає спільну роботу кількох ролей у межах однієї функції. Найінтенсивніша взаємодія відбувається між ролями «Аналітик повітряної обстановки» і «Оперативний черговий». Ролі командного пункту (оперативний черговий, офіцер бойового управління, аналітик) задіяні в трьох пулах із п’яти, що підтверджує центральну роль КП, визначену в ЛР1. Пул «Призначення цілі та санкціонування пуску» є вузловим: він отримує дані від трьох учасників (P1, P5, вищий КП) і передає завдання до P3, тому саме його автоматизація найбільше скорочує цикл «виявлення — рішення — перехоплення».</w:t>
      </w:r>
    </w:p>
    <w:p>
      <w:pPr>
        <w:pStyle w:val="139"/>
        <w:keepNext/>
        <w:pageBreakBefore w:val="0"/>
        <w:widowControl/>
        <w:spacing w:line="360" w:lineRule="auto" w:before="240" w:after="240"/>
        <w:ind w:firstLine="0" w:left="0"/>
        <w:jc w:val="center"/>
      </w:pPr>
      <w:bookmarkStart w:id="7" w:name="_Toc000007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ГРАФІЧНА ЧАСТИНА</w:t>
      </w:r>
      <w:bookmarkEnd w:id="7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Діаграми розміщено у відповідних підрозділах ходу виконання роботи. Перелік графічних матеріалів: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2.1 — функціональна модель верхнього рівня (карта взаємодії пулів);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2.2 — пул P1 «Моніторинг повітряної обстановки»;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2.3, 2.4 — пул P2 «Призначення цілі та санкціонування пуску» (частини 1 і 2);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2.5, 2.6 — пул P3 «Виконання місії перехоплення» (частини 1 і 2);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2.7 — пул P4 «Оцінка результату та звітність»;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2.8 — пул P5 «Забезпечення готовності ресурсів».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Моделі збережено у форматі BPMN 2.0 XML (</w:t>
      </w: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.bpmn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що забезпечує їх повторне використання та редагування в BPMN-сумісних засобах; розмір шрифту на діаграмах у документі — не менше 10 пт.</w:t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8" w:name="_Toc000008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ВИСНОВКИ</w:t>
      </w:r>
      <w:bookmarkEnd w:id="8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лабораторній роботі вивчено нотацію BPMN 2.0 і побудовано функціональну модель діяльності умовного РЦПДО «Щит-Північ» у цільовому стані після впровадження IoT-платформи «Щит-Лінк». Модель верхнього рівня показує взаємодію 5 функцій центру з чотирма зовнішніми учасниками через 12 потоків повідомлень.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Кожну функцію подано окремим пулом: моніторинг повітряної обстановки, призначення цілі та санкціонування пуску, виконання місії перехоплення, оцінка результату та звітність, забезпечення готовності ресурсів. Ролі в 15 доріжках (10 різних ролей) відповідають структурній схемі з лабораторної роботи № 1. У моделі використано 27 завдань п’яти типів, 22 подій (зокрема події-повідомлення, таймер і події-посилання), 13 шлюзів чотирьох типів і 3 сховища даних.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Аналіз виявив 21 передач відповідальності між ролями та 15 обмінів повідомленнями на детальних діаграмах; вузловою функцією є призначення цілі, а центральною ланкою — командний пункт. Ці результати визначають вимоги до інтерфейсів платформи «Щит-Лінк» і будуть використані для функціонального моделювання в нотаціях IDEF0 та IDEF3 у лабораторній роботі № 3.</w:t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9" w:name="_Toc000009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ВИКОРИСТАНИХ ДЖЕРЕЛ</w:t>
      </w:r>
      <w:bookmarkEnd w:id="9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Гладка М. В. Проєктування інформаційних систем : конспект лекцій (лекція 3 «Моделювання. Види діаграм. BPMN»). Київ : КНУ імені Тараса Шевченка, 2026.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Business Process Model and Notation (BPMN) Version 2.0.2. Object Management Group, 2013. URL: https://www.omg.org/spec/BPMN/2.0.2/.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bpmn-js — BPMN 2.0 rendering toolkit and web modeler. URL: https://bpmn.io/toolkit/bpmn-js/.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4) Ременяк Л. В. Проектування інформаційних систем : конспект лекцій. Одеса : ОДЕкУ, 2016. 152 с.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5) ДСТУ 3008:2015. Інформація та документація. Звіти у сфері науки і техніки. Структура та правила оформлювання.</w:t>
      </w:r>
    </w:p>
    <w:sectPr>
      <w:footnotePr/>
      <w:endnotePr/>
      <w:pgSz w:h="16838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widowControl/>
      <w:spacing w:line="240" w:lineRule="auto" w:before="0" w:after="0"/>
      <w:ind w:firstLine="0" w:left="0"/>
      <w:jc w:val="center"/>
    </w:pPr>
    <w:r>
      <w:rPr>
        <w:rFonts w:ascii="Times New Roman" w:hAnsi="Times New Roman" w:cs="Times New Roman" w:eastAsia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 Кравченко</dc:creator>
  <cp:revision>1</cp:revision>
  <dcterms:modified xsi:type="dcterms:W3CDTF">2026-10-03T10:31:14Z</dcterms:modified>
  <dc:title>Лабораторна робота №2. Побудова моделі роботи підприємства в нотації BPMN</dc:title>
  <dc:subject>Проєктування інформаційних систем</dc:subject>
  <dc:language>uk-UA</dc:language>
</cp:coreProperties>
</file>