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m="http://schemas.openxmlformats.org/officeDocument/2006/math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wp14="http://schemas.microsoft.com/office/word/2010/wordprocessingDrawing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Normal"/>
        <w:spacing w:after="100"/>
        <w:jc w:val="right"/>
      </w:pPr>
      <w:r>
        <w:rPr>
          <w:sz w:val="28"/>
        </w:rPr>
        <w:t>УДК 004.9</w:t>
      </w:r>
    </w:p>
    <w:p>
      <w:pPr>
        <w:pStyle w:val="Heading1"/>
      </w:pPr>
      <w:r>
        <w:t>Архітектура розподіленої IoT-системи цілевказівки та координації дронів для перехоплення повітряних цілей</w:t>
      </w:r>
    </w:p>
    <w:p>
      <w:pPr>
        <w:pStyle w:val="UserStyle_0"/>
      </w:pPr>
      <w:r>
        <w:t>П. Кравченко, О.В. Кравченко</w:t>
      </w:r>
    </w:p>
    <w:p>
      <w:pPr>
        <w:pStyle w:val="UserStyle_1"/>
      </w:pPr>
      <w:r>
        <w:t>Київський національний університет імені Тараса Шевченка</w:t>
      </w:r>
    </w:p>
    <w:p>
      <w:pPr>
        <w:pStyle w:val="Normal"/>
      </w:pPr>
    </w:p>
    <w:p>
      <w:pPr>
        <w:pStyle w:val="UserStyle_3"/>
      </w:pPr>
      <w:r>
        <w:t>Масове застосування малих безпілотних літальних апаратів перетворило захист повітряного простору на задачу обробки великих потоків різнотипних даних у реальному часі. Протидію забезпечує розподілена система, що зводить дані багатьох датчиків в єдину картину обстановки й координує дії людей. Для таких систем доцільно застосувати підхід інтернету речей (Internet of Things, IoT) з чотирирівневою архітектурою: рівні датчиків, мережевий, обробки даних і застосунків [1]. Цю модель використано в системах медичного моніторингу [1], керування ветеринарною клінікою [2] та насосною станцією водопостачання [3].</w:t>
      </w:r>
    </w:p>
    <w:p>
      <w:pPr>
        <w:pStyle w:val="UserStyle_3"/>
      </w:pPr>
      <w:r>
        <w:t>Існуючі рішення закривають лише частину задачі. Система ситуаційної обізнаності DELTA побудована модульно навколо єдиної цифрової карти й має мобільний клієнт з роботою без зв’язку [4]. Платформа DedroneTracker.AI зводить дані радіочастотних, радіолокаційних, відео- та акустичних датчиків у спільному рушії злиття [5]. ThingsBoard Edge забезпечує автономну роботу периферійного вузла з синхронізацією після відновлення зв’язку [6]. Жодне з рішень не поєднує мережу недорогих датчиків, периферійні обчислення та координацію завдань перехоплення на власній інфраструктурі.</w:t>
      </w:r>
    </w:p>
    <w:p>
      <w:pPr>
        <w:pStyle w:val="UserStyle_3"/>
      </w:pPr>
      <w:r>
        <w:t>Для системи сформульовано 22 функціональні та 16 нефункціональних вимог. Визначальними для архітектури є затримка «датчик — екран оператора» до 2 с, доставка завдання на планшет розрахунку до 1 с, автономна робота позиції без зв’язку з центром щонайменше 4 год, взаємна автентифікація пристроїв, повний журнал аудиту та принцип «людина в контурі»: жодне застосування засобу перехоплення не відбувається без санкції чергового.</w:t>
      </w:r>
    </w:p>
    <w:p>
      <w:pPr>
        <w:pStyle w:val="UserStyle_3"/>
      </w:pPr>
      <w:r>
        <w:t>Архітектуру IoT-платформи «Щит-Лінк» побудовано за чотирирівневою моделлю (Рис. 1). Рівень датчиків утворюють акустичні вузли, малогабаритні РЛС, оптико-електронні пости та наземні станції управління (НСУ) перехоплювачами, що підключаються стандартними протоколами.</w:t>
      </w:r>
    </w:p>
    <w:p>
      <w:pPr>
        <w:pStyle w:val="UserStyle_3"/>
      </w:pPr>
      <w:r>
        <w:t>На мережевому рівні периферійний шлюз позиції приймає дані через брокер MQTT, перетворює протоколи пристроїв у єдиний формат, локально зводить виявлення в треки й буферизує дані на час втрати зв’язку. Обмін із ядром іде резервованими каналами (mesh-радіо, LTE, супутник) у VPN з автентифікацією mTLS.</w:t>
      </w:r>
    </w:p>
    <w:p>
      <w:pPr>
        <w:pStyle w:val="UserStyle_3"/>
      </w:pPr>
      <w:r>
        <w:t>Рівень обробки даних — IoT-ядро у власних центрах обробки даних у гібридному стилі: подієво-орієнтована взаємодія через шину подій і дев’ять мікросервісів (треки, місії, ресурси, аудит тощо). Дані зберігаються в PostgreSQL з PostGIS і TimescaleDB для телеметрії. Рівень застосунків через API-шлюз (REST, WebSocket) обслуговує веб-АРМ командного пункту, планшет розрахунку та зовнішні системи.</w:t>
      </w:r>
    </w:p>
    <w:p>
      <w:pPr>
        <w:pStyle w:val="UserStyle_4"/>
        <w:keepNext/>
        <w:spacing w:before="100" w:after="100"/>
      </w:pPr>
      <w:r>
        <w:drawing>
          <wp:inline xmlns:a="http://schemas.openxmlformats.org/drawingml/2006/main" xmlns:pic="http://schemas.openxmlformats.org/drawingml/2006/picture">
            <wp:extent cx="5940000" cy="3143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43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UserStyle_4"/>
        <w:spacing w:before="100" w:after="200"/>
      </w:pPr>
      <w:r>
        <w:t>Рис. 1. Архітектура IoT-платформи «Щит-Лінк»</w:t>
      </w:r>
    </w:p>
    <w:p>
      <w:pPr>
        <w:pStyle w:val="UserStyle_3"/>
      </w:pPr>
      <w:r>
        <w:t>Отже, архітектура поєднує переваги аналогів: периферійні обчислення дають автономність позицій, шина подій і мікросервіси — затримку до 2 с і масштабування, а підтвердження людиною — контроль над кожним застосуванням. Систему буде реалізовано інкрементно (V-модель у кожному інкременті, випуск за практиками DevOps): спочатку ядро обліку на PostgreSQL з журналом аудиту й веб-інтерфейсом, далі шлюз позиції, сервіси реального часу й мобільний застосунок, наприкінці — зовнішні інтеграції.</w:t>
      </w:r>
    </w:p>
    <w:p>
      <w:pPr>
        <w:pStyle w:val="Heading2"/>
      </w:pPr>
      <w:r>
        <w:t>Література</w:t>
      </w:r>
    </w:p>
    <w:p>
      <w:pPr>
        <w:pStyle w:val="UserStyle_10"/>
      </w:pPr>
      <w:r>
        <w:t>1. Zinko, I., Kravchenko, O. та Syvoglaz, D., 2024. Designing an Internet of Things solution for monitoring vital signs. Technology Audit and Production Reserves, 2(2(76)). doi:10.15587/2706-5448.2024.300745.</w:t>
      </w:r>
    </w:p>
    <w:p>
      <w:pPr>
        <w:pStyle w:val="UserStyle_10"/>
      </w:pPr>
      <w:r>
        <w:t>2. Васюта, А. та Кравченко, О., 2025. IoT система керування ветеринарною клінікою. В: Інформаційні системи та технології: результати і перспективи (IST 2025): матеріали 2-ї Міжнар. наук.-практ. конф. Київ: ФІТ КНУ імені Тараса Шевченка, с.36-38.</w:t>
      </w:r>
    </w:p>
    <w:p>
      <w:pPr>
        <w:pStyle w:val="UserStyle_10"/>
      </w:pPr>
      <w:r>
        <w:t>3. Легойда, Ю.В. та Кравченко, О.В., 2024. Автоматизована IoT система управління насосної станції водопостачання селища Теплик. Таврійський науковий вісник. Серія: Технічні науки, 2, с.73-87.</w:t>
      </w:r>
    </w:p>
    <w:p>
      <w:pPr>
        <w:pStyle w:val="UserStyle_10"/>
      </w:pPr>
      <w:r>
        <w:t>4. Міністерство оборони України, 2026. DELTA: Open Wiki. [online] Доступно: &lt;https://delta.mil.gov.ua/open-wiki/en/&gt; [Дата звернення 4 Жовтень 2026].</w:t>
      </w:r>
    </w:p>
    <w:p>
      <w:pPr>
        <w:pStyle w:val="UserStyle_10"/>
      </w:pPr>
      <w:r>
        <w:t>5. Dedrone, 2026. DedroneTracker.AI: drone detection software. [online] Доступно: &lt;https://www.dedrone.com/products/drone-detection-software&gt; [Дата звернення 4 Жовтень 2026].</w:t>
      </w:r>
    </w:p>
    <w:p>
      <w:pPr>
        <w:pStyle w:val="UserStyle_10"/>
      </w:pPr>
      <w:r>
        <w:t>6. ThingsBoard, 2026. ThingsBoard Edge. [online] Доступно: &lt;https://thingsboard.io/products/thingsboard-edge/&gt; [Дата звернення 4 Жовтень 2026].</w:t>
      </w:r>
    </w:p>
    <w:sectPr>
      <w:type w:val="nextPage"/>
      <w:endnotePr>
        <w:numFmt w:val="decimal"/>
      </w:endnotePr>
      <w:pgSz w:h="16838" w:w="11906"/>
      <w:pgMar w:footer="709" w:header="709" w:gutter="0" w:left="1134" w:right="1134" w:top="1134" w:bottom="1134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anose1 w:val="02020603050405020304"/>
    <w:pitch w:val="variable"/>
    <w:sig w:usb0="E0002EFF" w:usb1="C000785B" w:usb2="00000009" w:usb3="00000000" w:csb0="000001FF" w:csb1="00000000"/>
  </w:font>
  <w:font w:name="Symbol">
    <w:charset w:val="02"/>
    <w:family w:val="roman"/>
    <w:panose1 w:val="05050102010706020507"/>
    <w:pitch w:val="variable"/>
    <w:sig w:usb0="00000000" w:usb1="10000000" w:usb2="00000000" w:usb3="00000000" w:csb0="80000000" w:csb1="00000000"/>
  </w:font>
  <w:font w:name="Arial">
    <w:charset w:val="00"/>
    <w:family w:val="swiss"/>
    <w:panose1 w:val="020b0604020202020204"/>
    <w:pitch w:val="variable"/>
    <w:sig w:usb0="E0002EFF" w:usb1="C000785B" w:usb2="00000009" w:usb3="00000000" w:csb0="000001FF" w:csb1="00000000"/>
  </w:font>
  <w:font w:name="Verdana">
    <w:charset w:val="00"/>
    <w:family w:val="swiss"/>
    <w:panose1 w:val="020b0604030504040204"/>
    <w:pitch w:val="variable"/>
    <w:sig w:usb0="A00006FF" w:usb1="4000205B" w:usb2="00000010" w:usb3="00000000" w:csb0="0000019F" w:csb1="00000000"/>
  </w:font>
  <w:font w:name="Cambria">
    <w:charset w:val="00"/>
    <w:family w:val="roman"/>
    <w:panose1 w:val="02040503050406030204"/>
    <w:pitch w:val="variable"/>
    <w:sig w:usb0="E00006FF" w:usb1="420024FF" w:usb2="02000000" w:usb3="00000000" w:csb0="0000019F" w:csb1="00000000"/>
  </w:font>
  <w:font w:name="Calibri Light">
    <w:charset w:val="00"/>
    <w:family w:val="swiss"/>
    <w:panose1 w:val="020f0302020204030204"/>
    <w:pitch w:val="variable"/>
    <w:sig w:usb0="E4002EFF" w:usb1="C200247B" w:usb2="00000009" w:usb3="00000000" w:csb0="000001FF" w:csb1="00000000"/>
  </w:font>
  <w:font w:name="Calibri">
    <w:charset w:val="00"/>
    <w:family w:val="swiss"/>
    <w:panose1 w:val="020f0502020204030204"/>
    <w:pitch w:val="variable"/>
    <w:sig w:usb0="E4002EFF" w:usb1="C200247B" w:usb2="00000009" w:usb3="00000000" w:csb0="000001FF" w:csb1="00000000"/>
  </w:font>
  <w:font w:name="Courier New">
    <w:charset w:val="00"/>
    <w:family w:val="modern"/>
    <w:panose1 w:val="02070309020205020404"/>
    <w:pitch w:val="fixed"/>
    <w:sig w:usb0="E0002EFF" w:usb1="C0007843" w:usb2="00000009" w:usb3="00000000" w:csb0="000001FF" w:csb1="00000000"/>
  </w:font>
  <w:font w:name="Wingdings">
    <w:charset w:val="02"/>
    <w:family w:val="auto"/>
    <w:panose1 w:val="05000000000000000000"/>
    <w:pitch w:val="variable"/>
    <w:sig w:usb0="00000000" w:usb1="10000000" w:usb2="00000000" w:usb3="00000000" w:csb0="80000000" w:csb1="00000000"/>
  </w:font>
  <w:font w:name="Cambria Math">
    <w:charset w:val="00"/>
    <w:family w:val="roman"/>
    <w:panose1 w:val="02040503050406030204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 xmlns:wpc="http://schemas.microsoft.com/office/word/2010/wordprocessingCanvas" xmlns:mc="http://schemas.openxmlformats.org/markup-compatibility/2006" xmlns:wp14="http://schemas.microsoft.com/office/word/2010/wordprocessingDrawing" xmlns:wp="http://schemas.openxmlformats.org/drawingml/2006/wordprocessingDrawing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m="http://schemas.openxmlformats.org/officeDocument/2006/math" mc:Ignorable="w14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 xmlns:wpc="http://schemas.microsoft.com/office/word/2010/wordprocessingCanvas" xmlns:mc="http://schemas.openxmlformats.org/markup-compatibility/2006" xmlns:wp14="http://schemas.microsoft.com/office/word/2010/wordprocessingDrawing" xmlns:wp="http://schemas.openxmlformats.org/drawingml/2006/wordprocessingDrawing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m="http://schemas.openxmlformats.org/officeDocument/2006/math" mc:Ignorable="w14 wp14">
  <w:abstractNum w:abstractNumId="0">
    <w:nsid w:val="614677DE"/>
    <w:multiLevelType w:val="hybridMultilevel"/>
    <w:tmpl w:val="A8647138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hAnsi="Symbol" w:ascii="Symbol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cs="Courier New" w:hAnsi="Courier New" w:asci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hAnsi="Wingdings" w:asci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hAnsi="Symbol" w:asci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cs="Courier New" w:hAnsi="Courier New" w:asci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hAnsi="Wingdings" w:asci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hAnsi="Symbol" w:asci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cs="Courier New" w:hAnsi="Courier New" w:asci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hAnsi="Wingdings" w:asci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stylePaneFormatFilter w:val="3f01"/>
  <w:defaultTabStop w:val="708"/>
  <w:displayHorizontalDrawingGridEvery w:val="1"/>
  <w:displayVerticalDrawingGridEvery w:val="1"/>
  <w:footnotePr w:pos="docEnd" w:numStart="1">
    <w:footnote w:id="-1"/>
    <w:footnote w:id="0"/>
  </w:footnotePr>
  <w:compat>
    <w:compatSetting w:name="compatibilityMode" w:uri="http://schemas.microsoft.com/office/word" w:val="11"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spaceForUL/>
  </w:compat>
  <w:rsids>
    <w:rsid w:val="000B4013"/>
    <w:rsid w:val="000D0CA5"/>
    <w:rsid w:val="000D2C68"/>
    <w:rsid w:val="00240AB6"/>
    <w:rsid w:val="002F784F"/>
    <w:rsid w:val="003E1E14"/>
    <w:rsid w:val="004123A6"/>
    <w:rsid w:val="004C6C71"/>
    <w:rsid w:val="004C7CCB"/>
    <w:rsid w:val="004F1D7A"/>
    <w:rsid w:val="005C475C"/>
    <w:rsid w:val="005E0888"/>
    <w:rsid w:val="006E0C1F"/>
    <w:rsid w:val="007471AD"/>
    <w:rsid w:val="00774DC7"/>
    <w:rsid w:val="007847D2"/>
    <w:rsid w:val="008312CC"/>
    <w:rsid w:val="00881302"/>
    <w:rsid w:val="00891DA6"/>
    <w:rsid w:val="008C2E22"/>
    <w:rsid w:val="009370BC"/>
    <w:rsid w:val="00A956CE"/>
    <w:rsid w:val="00C17AC9"/>
    <w:rsid w:val="00CB3641"/>
    <w:rsid w:val="00CE41A3"/>
    <w:rsid w:val="00DE06D9"/>
    <w:rsid w:val="00E05799"/>
    <w:rsid w:val="00E4037D"/>
    <w:rsid w:val="00E533D7"/>
    <w:rsid w:val="00E94F2A"/>
    <w:rsid w:val="00EB1DCC"/>
    <w:rsid w:val="00F11863"/>
    <w:rsid w:val="00F70780"/>
  </w:rsids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lang w:val="en-US"/>
      </w:rPr>
    </w:rPrDefault>
    <w:pPrDefault/>
  </w:docDefaults>
  <w:style w:type="paragraph" w:styleId="Normal">
    <w:name w:val="Normal"/>
    <w:aliases w:val="Normal,Таблиця"/>
    <w:next w:val="Normal"/>
    <w:link w:val="Normal"/>
    <w:qFormat/>
    <w:rsid w:val="00756C9A"/>
    <w:pPr>
      <w:widowControl w:val="off"/>
      <w:autoSpaceDE w:val="off"/>
      <w:autoSpaceDN w:val="off"/>
    </w:pPr>
    <w:rPr>
      <w:sz w:val="24"/>
      <w:lang w:eastAsia="ru-RU" w:val="ru-RU" w:bidi="ar-SA"/>
    </w:rPr>
  </w:style>
  <w:style w:type="paragraph" w:styleId="Heading1">
    <w:name w:val="Heading 1"/>
    <w:aliases w:val="Назва тез"/>
    <w:basedOn w:val="Normal"/>
    <w:next w:val="Normal"/>
    <w:link w:val="Normal"/>
    <w:qFormat/>
    <w:rsid w:val="009370BC"/>
    <w:pPr>
      <w:keepNext/>
      <w:outlineLvl w:val="0"/>
      <w:spacing w:after="100"/>
      <w:jc w:val="center"/>
    </w:pPr>
    <w:rPr>
      <w:b/>
      <w:sz w:val="28"/>
      <w:kern w:val="32"/>
      <w:bCs/>
      <w:szCs w:val="32"/>
      <w:rFonts w:cs="Arial"/>
    </w:rPr>
  </w:style>
  <w:style w:type="paragraph" w:styleId="Heading2">
    <w:name w:val="Heading 2"/>
    <w:aliases w:val="Література назва"/>
    <w:basedOn w:val="Normal"/>
    <w:next w:val="Normal"/>
    <w:link w:val="Normal"/>
    <w:qFormat/>
    <w:rsid w:val="004F1D7A"/>
    <w:pPr>
      <w:keepNext/>
      <w:outlineLvl w:val="1"/>
      <w:jc w:val="center"/>
    </w:pPr>
    <w:rPr>
      <w:b/>
      <w:sz w:val="28"/>
      <w:bCs/>
      <w:iCs/>
      <w:szCs w:val="28"/>
      <w:rFonts w:cs="Arial"/>
    </w:rPr>
  </w:style>
  <w:style w:type="paragraph" w:styleId="Heading3">
    <w:name w:val="Heading 3"/>
    <w:aliases w:val="Заголовок таблиця"/>
    <w:basedOn w:val="Normal"/>
    <w:next w:val="Normal"/>
    <w:link w:val="Normal"/>
    <w:qFormat/>
    <w:rsid w:val="00756C9A"/>
    <w:pPr>
      <w:keepNext/>
      <w:outlineLvl w:val="2"/>
      <w:spacing w:after="100" w:before="100"/>
      <w:jc w:val="center"/>
    </w:pPr>
    <w:rPr>
      <w:b/>
      <w:sz w:val="28"/>
      <w:bCs/>
      <w:szCs w:val="26"/>
      <w:rFonts w:cs="Arial"/>
    </w:rPr>
  </w:style>
  <w:style w:type="character" w:styleId="NormalCharacter">
    <w:name w:val="Default Paragraph Font"/>
    <w:next w:val="NormalCharacter"/>
    <w:link w:val="Normal"/>
    <w:semiHidden/>
  </w:style>
  <w:style w:type="table" w:styleId="TableNormal">
    <w:name w:val="Table Normal"/>
    <w:next w:val="TableNormal"/>
    <w:link w:val="Normal"/>
    <w:semiHidden/>
    <w:tblPr>
      <w:tblW w:w="0" w:type="auto"/>
      <w:tblInd w:type="dxa" w:w="0"/>
      <w:tblLayout w:type="fixed"/>
      <w:tblCellMar>
        <w:top w:type="dxa" w:w="0"/>
        <w:bottom w:type="dxa" w:w="0"/>
        <w:left w:type="dxa" w:w="108"/>
        <w:right w:type="dxa" w:w="108"/>
      </w:tblCellMar>
    </w:tblPr>
    <w:tblGrid/>
  </w:style>
  <w:style w:type="numbering" w:styleId="NormalList">
    <w:name w:val="No List"/>
    <w:next w:val="NormalList"/>
    <w:link w:val="Normal"/>
    <w:semiHidden/>
  </w:style>
  <w:style w:type="paragraph" w:styleId="UserStyle_0">
    <w:name w:val="Автори"/>
    <w:basedOn w:val="Normal"/>
    <w:next w:val="UserStyle_0"/>
    <w:link w:val="Normal"/>
    <w:rsid w:val="004123A6"/>
    <w:pPr>
      <w:shd w:color="auto" w:fill="ffffff" w:val="clear"/>
      <w:jc w:val="right"/>
    </w:pPr>
    <w:rPr>
      <w:b/>
      <w:spacing w:val="-6"/>
      <w:sz w:val="28"/>
      <w:w w:val="110"/>
      <w:bCs/>
      <w:szCs w:val="28"/>
      <w:lang w:val="uk-UA"/>
    </w:rPr>
  </w:style>
  <w:style w:type="paragraph" w:styleId="UserStyle_1">
    <w:name w:val="Навчальний заклад"/>
    <w:basedOn w:val="Normal"/>
    <w:next w:val="UserStyle_1"/>
    <w:link w:val="UserStyle_2"/>
    <w:rsid w:val="004123A6"/>
    <w:pPr>
      <w:shd w:color="auto" w:fill="ffffff" w:val="clear"/>
      <w:jc w:val="center"/>
    </w:pPr>
    <w:rPr>
      <w:i/>
      <w:spacing w:val="2"/>
      <w:sz w:val="28"/>
      <w:szCs w:val="28"/>
      <w:lang w:val="uk-UA"/>
    </w:rPr>
  </w:style>
  <w:style w:type="paragraph" w:styleId="UserStyle_3">
    <w:name w:val="Текст тез"/>
    <w:basedOn w:val="Normal"/>
    <w:next w:val="UserStyle_3"/>
    <w:link w:val="Normal"/>
    <w:rsid w:val="00B84E23"/>
    <w:pPr>
      <w:widowControl/>
      <w:autoSpaceDE/>
      <w:autoSpaceDN/>
      <w:ind w:firstLine="709"/>
      <w:jc w:val="both"/>
    </w:pPr>
    <w:rPr>
      <w:sz w:val="28"/>
      <w:szCs w:val="28"/>
      <w:lang w:val="uk-UA"/>
    </w:rPr>
  </w:style>
  <w:style w:type="paragraph" w:styleId="UserStyle_4">
    <w:name w:val="Підпис до рисунків"/>
    <w:basedOn w:val="Normal"/>
    <w:next w:val="UserStyle_4"/>
    <w:link w:val="UserStyle_5"/>
    <w:rsid w:val="008E2F79"/>
    <w:pPr>
      <w:spacing w:after="200" w:before="100"/>
      <w:jc w:val="center"/>
    </w:pPr>
    <w:rPr>
      <w:sz w:val="28"/>
      <w:szCs w:val="28"/>
    </w:rPr>
  </w:style>
  <w:style w:type="character" w:styleId="UserStyle_2">
    <w:name w:val="Навчальний заклад Знак"/>
    <w:next w:val="UserStyle_2"/>
    <w:link w:val="UserStyle_1"/>
    <w:rsid w:val="00F11863"/>
    <w:rPr>
      <w:i/>
      <w:spacing w:val="2"/>
      <w:sz w:val="28"/>
      <w:szCs w:val="28"/>
      <w:lang w:eastAsia="ru-RU" w:val="uk-UA" w:bidi="ar-SA"/>
    </w:rPr>
  </w:style>
  <w:style w:type="paragraph" w:styleId="UserStyle_6">
    <w:name w:val="Формула"/>
    <w:basedOn w:val="Normal"/>
    <w:next w:val="UserStyle_6"/>
    <w:link w:val="Normal"/>
    <w:rsid w:val="00F11863"/>
    <w:pPr>
      <w:ind w:firstLine="709"/>
      <w:jc w:val="right"/>
    </w:pPr>
    <w:rPr>
      <w:sz w:val="28"/>
      <w:szCs w:val="28"/>
      <w:lang w:val="pl-PL"/>
    </w:rPr>
  </w:style>
  <w:style w:type="paragraph" w:styleId="UserStyle_7">
    <w:name w:val="Підпис до формули"/>
    <w:basedOn w:val="Normal"/>
    <w:next w:val="UserStyle_7"/>
    <w:link w:val="UserStyle_8"/>
    <w:rsid w:val="00F11863"/>
    <w:pPr>
      <w:shd w:color="auto" w:fill="ffffff" w:val="clear"/>
      <w:jc w:val="both"/>
    </w:pPr>
    <w:rPr>
      <w:sz w:val="28"/>
      <w:szCs w:val="24"/>
      <w:lang w:val="uk-UA"/>
    </w:rPr>
  </w:style>
  <w:style w:type="paragraph" w:styleId="UserStyle_9">
    <w:name w:val="Стиль Література перелік + курсив"/>
    <w:basedOn w:val="UserStyle_10"/>
    <w:next w:val="UserStyle_9"/>
    <w:link w:val="UserStyle_11"/>
    <w:rsid w:val="00756C9A"/>
    <w:rPr>
      <w:i/>
      <w:iCs/>
    </w:rPr>
  </w:style>
  <w:style w:type="character" w:styleId="UserStyle_8">
    <w:name w:val="Підпис до формули Знак"/>
    <w:next w:val="UserStyle_8"/>
    <w:link w:val="UserStyle_7"/>
    <w:rsid w:val="00F11863"/>
    <w:rPr>
      <w:sz w:val="28"/>
      <w:szCs w:val="24"/>
      <w:lang w:eastAsia="ru-RU" w:val="uk-UA" w:bidi="ar-SA"/>
    </w:rPr>
  </w:style>
  <w:style w:type="character" w:styleId="UserStyle_12">
    <w:name w:val="Література Знак"/>
    <w:next w:val="UserStyle_12"/>
    <w:link w:val="UserStyle_10"/>
    <w:rsid w:val="00756C9A"/>
    <w:rPr>
      <w:sz w:val="28"/>
      <w:szCs w:val="24"/>
      <w:lang w:eastAsia="ru-RU" w:val="ru-RU" w:bidi="ar-SA"/>
      <w:rFonts w:cs="Arial"/>
    </w:rPr>
  </w:style>
  <w:style w:type="character" w:styleId="UserStyle_5">
    <w:name w:val="Підпис до рисунків Знак Знак"/>
    <w:next w:val="UserStyle_5"/>
    <w:link w:val="UserStyle_4"/>
    <w:rsid w:val="008E2F79"/>
    <w:rPr>
      <w:sz w:val="28"/>
      <w:szCs w:val="28"/>
      <w:lang w:eastAsia="ru-RU" w:val="ru-RU" w:bidi="ar-SA"/>
    </w:rPr>
  </w:style>
  <w:style w:type="character" w:styleId="UserStyle_11">
    <w:name w:val="Стиль Література перелік + курсив Знак"/>
    <w:next w:val="UserStyle_11"/>
    <w:link w:val="UserStyle_9"/>
    <w:rsid w:val="00756C9A"/>
    <w:rPr>
      <w:i/>
      <w:sz w:val="28"/>
      <w:iCs/>
      <w:szCs w:val="24"/>
      <w:lang w:eastAsia="ru-RU" w:val="ru-RU" w:bidi="ar-SA"/>
      <w:rFonts w:cs="Arial"/>
    </w:rPr>
  </w:style>
  <w:style w:type="paragraph" w:styleId="UserStyle_13">
    <w:name w:val="Car Car Знак Знак Car Car"/>
    <w:basedOn w:val="Normal"/>
    <w:next w:val="UserStyle_13"/>
    <w:link w:val="Normal"/>
    <w:rsid w:val="00240AB6"/>
    <w:pPr>
      <w:widowControl/>
      <w:autoSpaceDE/>
      <w:autoSpaceDN/>
      <w:spacing w:lineRule="exact" w:after="160" w:line="240"/>
    </w:pPr>
    <w:rPr>
      <w:sz w:val="20"/>
      <w:lang w:eastAsia="en-US" w:val="en-US"/>
      <w:rFonts w:cs="Verdana" w:hAnsi="Verdana" w:ascii="Verdana"/>
    </w:rPr>
  </w:style>
  <w:style w:type="paragraph" w:styleId="UserStyle_10">
    <w:name w:val="Література"/>
    <w:basedOn w:val="Normal"/>
    <w:next w:val="UserStyle_10"/>
    <w:link w:val="UserStyle_12"/>
    <w:rsid w:val="004F1D7A"/>
    <w:pPr>
      <w:ind w:firstLine="709"/>
      <w:jc w:val="both"/>
    </w:pPr>
    <w:rPr>
      <w:sz w:val="28"/>
      <w:szCs w:val="24"/>
      <w:rFonts w:cs="Arial"/>
    </w:rPr>
  </w:style>
  <w:style w:type="paragraph" w:styleId="BodyTextIndent">
    <w:name w:val="Body Text Indent"/>
    <w:basedOn w:val="Normal"/>
    <w:next w:val="BodyTextIndent"/>
    <w:link w:val="Normal"/>
    <w:rsid w:val="00A956CE"/>
    <w:pPr>
      <w:widowControl/>
      <w:framePr w:hSpace="180" w:h="823" w:vAnchor="text" w:x="811" w:w="4951" w:y="1781" w:hRule="atLeast" w:hAnchor="page"/>
      <w:jc w:val="both"/>
    </w:pPr>
    <w:rPr>
      <w:sz w:val="18"/>
      <w:szCs w:val="18"/>
      <w:lang w:val="en-US"/>
    </w:rPr>
  </w:style>
  <w:style w:type="paragraph" w:styleId="Footer">
    <w:name w:val="Footer"/>
    <w:basedOn w:val="Normal"/>
    <w:next w:val="Footer"/>
    <w:link w:val="Normal"/>
    <w:rsid w:val="00A956CE"/>
    <w:pPr>
      <w:tabs>
        <w:tab w:pos="4153" w:leader="none" w:val="center"/>
        <w:tab w:pos="8306" w:leader="none" w:val="right"/>
      </w:tabs>
      <w:widowControl/>
    </w:pPr>
    <w:rPr>
      <w:sz w:val="20"/>
      <w:lang w:val="en-US"/>
    </w:rPr>
  </w:style>
  <w:style w:type="paragraph" w:styleId="UserStyle_14">
    <w:name w:val="Default"/>
    <w:next w:val="UserStyle_14"/>
    <w:link w:val="Normal"/>
    <w:rsid w:val="00881302"/>
    <w:pPr>
      <w:autoSpaceDE w:val="off"/>
      <w:autoSpaceDN w:val="off"/>
    </w:pPr>
    <w:rPr>
      <w:sz w:val="24"/>
      <w:szCs w:val="24"/>
      <w:lang w:eastAsia="uk-UA" w:val="uk-UA" w:bidi="he-IL"/>
      <w:rFonts w:cs="Cambria" w:hAnsi="Cambria" w:ascii="Cambria"/>
      <w:color w:val="000000"/>
    </w:rPr>
  </w:style>
</w:style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wmf"/><Relationship Id="rId5" Type="http://schemas.openxmlformats.org/officeDocument/2006/relationships/oleObject" Target="embeddings/oleObject1.bin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settings" Target="settings.xml"/><Relationship Id="rId1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Тези 130 років НУХТ.dot</Template>
  <Company>RePack by SPecialiST</Company>
  <Pages>2</Pages>
  <Words>526</Words>
  <Characters>3004</Characters>
  <Lines>25</Lines>
  <Paragraphs>7</Paragraphs>
  <ScaleCrop>0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Моделювання тепломасоперенесення під час сушіння зерна</vt:lpstr>
      <vt:lpstr>Моделювання тепломасоперенесення під час сушіння зерна</vt:lpstr>
    </vt:vector>
  </TitlesOfParts>
  <CharactersWithSpaces>3523</CharactersWithSpaces>
  <SharedDoc>0</SharedDoc>
  <HyperlinksChanged>0</HyperlinksChanged>
  <Application>Microsoft Office Word/ONLYOFFICE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Архітектура розподіленої IoT-системи цілевказівки та координації дронів для перехоплення повітряних цілей</dc:title>
  <dc:creator>Петро Кравченко</dc:creator>
  <cp:version>1048576</cp:version>
  <cp:lastModifiedBy>Петро Кравченко</cp:lastModifiedBy>
  <cp:revision>4</cp:revision>
  <dcterms:created xsi:type="dcterms:W3CDTF">2024-10-09T07:33:00Z</dcterms:created>
  <dcterms:modified xsi:type="dcterms:W3CDTF">2025-10-08T18:47:00Z</dcterms:modified>
</cp:coreProperties>
</file>