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4FA" w:rsidRDefault="00F6084B">
      <w:r>
        <w:t xml:space="preserve">Protocol for testing noise levels in </w:t>
      </w:r>
      <w:proofErr w:type="spellStart"/>
      <w:r>
        <w:t>Plexon</w:t>
      </w:r>
      <w:proofErr w:type="spellEnd"/>
      <w:r>
        <w:t xml:space="preserve"> recording systems</w:t>
      </w:r>
    </w:p>
    <w:p w:rsidR="00F6084B" w:rsidRDefault="00F6084B">
      <w:r>
        <w:t>March 9, 2014</w:t>
      </w:r>
    </w:p>
    <w:p w:rsidR="00F6084B" w:rsidRDefault="00F6084B">
      <w:r>
        <w:t xml:space="preserve">See also: </w:t>
      </w:r>
      <w:hyperlink r:id="rId6" w:history="1">
        <w:r w:rsidRPr="00626DB9">
          <w:rPr>
            <w:rStyle w:val="Hyperlink"/>
          </w:rPr>
          <w:t>http://www.ncbi.nlm.nih.gov/pubmed/25559004</w:t>
        </w:r>
      </w:hyperlink>
    </w:p>
    <w:p w:rsidR="00F6084B" w:rsidRDefault="00F6084B"/>
    <w:p w:rsidR="00F6084B" w:rsidRDefault="00F6084B">
      <w:r>
        <w:t xml:space="preserve">There are multiple sources of “noise” that can enter our recordings.  This protocol describes how to setup a recording in a dish of saline to quantify the amplitude and frequency content of this noise in the absence of any additional sources of variance from neurons and mice.  </w:t>
      </w:r>
      <w:proofErr w:type="gramStart"/>
      <w:r w:rsidR="00CD4B07">
        <w:t>Checking this before and after changes to the system can quantify whether the changes affected recording quality.</w:t>
      </w:r>
      <w:proofErr w:type="gramEnd"/>
    </w:p>
    <w:p w:rsidR="00CD4B07" w:rsidRDefault="00CD4B07" w:rsidP="00CD4B07">
      <w:pPr>
        <w:pStyle w:val="ListParagraph"/>
      </w:pPr>
    </w:p>
    <w:p w:rsidR="00F6084B" w:rsidRDefault="00F6084B" w:rsidP="00F6084B">
      <w:pPr>
        <w:pStyle w:val="ListParagraph"/>
        <w:numPr>
          <w:ilvl w:val="0"/>
          <w:numId w:val="1"/>
        </w:numPr>
      </w:pPr>
      <w:r>
        <w:t xml:space="preserve">Turn </w:t>
      </w:r>
      <w:r w:rsidR="00CD4B07">
        <w:t xml:space="preserve">the </w:t>
      </w:r>
      <w:proofErr w:type="spellStart"/>
      <w:r w:rsidR="00CD4B07">
        <w:t>Plexon</w:t>
      </w:r>
      <w:proofErr w:type="spellEnd"/>
      <w:r w:rsidR="00CD4B07">
        <w:t xml:space="preserve"> system on and start streaming data.  M</w:t>
      </w:r>
      <w:r>
        <w:t xml:space="preserve">ount an array on the end </w:t>
      </w:r>
      <w:r w:rsidR="00CD4B07">
        <w:t xml:space="preserve">of the </w:t>
      </w:r>
      <w:proofErr w:type="spellStart"/>
      <w:r w:rsidR="00CD4B07">
        <w:t>headstage</w:t>
      </w:r>
      <w:proofErr w:type="spellEnd"/>
      <w:r w:rsidR="00CD4B07">
        <w:t xml:space="preserve">, and position the tips of the wires </w:t>
      </w:r>
      <w:r>
        <w:t>in a dish of saline using putty to hold it.  Make sure the ground wire is also in the saline.</w:t>
      </w:r>
    </w:p>
    <w:p w:rsidR="00F6084B" w:rsidRDefault="00F6084B" w:rsidP="00CD4B07">
      <w:pPr>
        <w:jc w:val="center"/>
      </w:pPr>
      <w:r>
        <w:rPr>
          <w:noProof/>
        </w:rPr>
        <w:drawing>
          <wp:inline distT="0" distB="0" distL="0" distR="0">
            <wp:extent cx="4316608" cy="4813402"/>
            <wp:effectExtent l="0" t="0" r="8255" b="6350"/>
            <wp:docPr id="1" name="Picture 1" descr="C:\Users\kravitzav\Desktop\Phone photos for lab\WP_20150303_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vitzav\Desktop\Phone photos for lab\WP_20150303_0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1" r="32642"/>
                    <a:stretch/>
                  </pic:blipFill>
                  <pic:spPr bwMode="auto">
                    <a:xfrm>
                      <a:off x="0" y="0"/>
                      <a:ext cx="4326612" cy="48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B07" w:rsidRDefault="00CD4B07" w:rsidP="00CD4B07">
      <w:pPr>
        <w:pStyle w:val="ListParagraph"/>
        <w:numPr>
          <w:ilvl w:val="0"/>
          <w:numId w:val="1"/>
        </w:numPr>
      </w:pPr>
      <w:r>
        <w:lastRenderedPageBreak/>
        <w:t>In the “properties spreadsheet” tab, set the gain of each channel to 4000, the threshold to -5, and turn on wideband recording.</w:t>
      </w:r>
      <w:r w:rsidRPr="00CD4B07">
        <w:t xml:space="preserve"> </w:t>
      </w:r>
    </w:p>
    <w:p w:rsidR="00CD4B07" w:rsidRDefault="00CD4B07" w:rsidP="00CD4B07">
      <w:pPr>
        <w:pStyle w:val="ListParagraph"/>
      </w:pPr>
      <w:r>
        <w:rPr>
          <w:noProof/>
        </w:rPr>
        <w:drawing>
          <wp:inline distT="0" distB="0" distL="0" distR="0" wp14:anchorId="7CB4637F" wp14:editId="2F59F826">
            <wp:extent cx="5593546" cy="4645152"/>
            <wp:effectExtent l="0" t="0" r="7620" b="3175"/>
            <wp:docPr id="2" name="Picture 2" descr="C:\Users\kravitzav\AppData\Local\Microsoft\Windows\Temporary Internet Files\Content.Word\WP_20150303_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avitzav\AppData\Local\Microsoft\Windows\Temporary Internet Files\Content.Word\WP_20150303_0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8" t="13616" r="4310" b="17544"/>
                    <a:stretch/>
                  </pic:blipFill>
                  <pic:spPr bwMode="auto">
                    <a:xfrm>
                      <a:off x="0" y="0"/>
                      <a:ext cx="5593419" cy="464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B07" w:rsidRDefault="00CD4B07" w:rsidP="00CD4B07">
      <w:pPr>
        <w:pStyle w:val="ListParagraph"/>
      </w:pPr>
    </w:p>
    <w:p w:rsidR="00CD4B07" w:rsidRDefault="00CD4B07" w:rsidP="00CD4B07">
      <w:pPr>
        <w:pStyle w:val="ListParagraph"/>
        <w:numPr>
          <w:ilvl w:val="0"/>
          <w:numId w:val="1"/>
        </w:numPr>
      </w:pPr>
      <w:r>
        <w:t xml:space="preserve">Record </w:t>
      </w:r>
      <w:r w:rsidR="00017C30">
        <w:t>wideband data from all</w:t>
      </w:r>
      <w:r>
        <w:t xml:space="preserve"> channels for ~1 minute.</w:t>
      </w:r>
    </w:p>
    <w:p w:rsidR="00CD4B07" w:rsidRDefault="00CD4B07" w:rsidP="00CD4B07">
      <w:pPr>
        <w:pStyle w:val="ListParagraph"/>
        <w:numPr>
          <w:ilvl w:val="0"/>
          <w:numId w:val="1"/>
        </w:numPr>
      </w:pPr>
      <w:r>
        <w:t xml:space="preserve">Open the files in </w:t>
      </w:r>
      <w:proofErr w:type="spellStart"/>
      <w:r>
        <w:t>Neuroexplorer</w:t>
      </w:r>
      <w:proofErr w:type="spellEnd"/>
      <w:r>
        <w:t xml:space="preserve"> and use the 1D data viewer to visualize the wideband channels to see the amplitude of the noise band.  </w:t>
      </w:r>
      <w:r w:rsidR="00017C30">
        <w:t>This will also tell you if any channels in the recording system are particularly bad or might be damaged.</w:t>
      </w:r>
    </w:p>
    <w:p w:rsidR="00CD4B07" w:rsidRDefault="00CD4B07" w:rsidP="00CD4B07">
      <w:pPr>
        <w:pStyle w:val="ListParagraph"/>
        <w:numPr>
          <w:ilvl w:val="0"/>
          <w:numId w:val="1"/>
        </w:numPr>
      </w:pPr>
      <w:r>
        <w:t xml:space="preserve">To quantify this, copy the continuous wideband </w:t>
      </w:r>
      <w:r w:rsidR="00017C30">
        <w:t xml:space="preserve">data </w:t>
      </w:r>
      <w:r>
        <w:t xml:space="preserve">into </w:t>
      </w:r>
      <w:r w:rsidR="00017C30">
        <w:t>E</w:t>
      </w:r>
      <w:r>
        <w:t>xcel and calculate the Root Mean Squared of the data.</w:t>
      </w:r>
    </w:p>
    <w:p w:rsidR="00CD4B07" w:rsidRDefault="00CD4B07" w:rsidP="00CD4B07">
      <w:pPr>
        <w:pStyle w:val="ListParagraph"/>
        <w:numPr>
          <w:ilvl w:val="0"/>
          <w:numId w:val="1"/>
        </w:numPr>
      </w:pPr>
      <w:r>
        <w:t xml:space="preserve">Use spectral analysis to see if there are any peaks at specific frequencies in the data: </w:t>
      </w:r>
    </w:p>
    <w:p w:rsidR="00CD4B07" w:rsidRDefault="00CD4B07" w:rsidP="00CD4B07">
      <w:pPr>
        <w:pStyle w:val="ListParagraph"/>
      </w:pPr>
      <w:r>
        <w:rPr>
          <w:noProof/>
        </w:rPr>
        <w:lastRenderedPageBreak/>
        <w:drawing>
          <wp:inline distT="0" distB="0" distL="0" distR="0" wp14:anchorId="1470C833" wp14:editId="45BD0A45">
            <wp:extent cx="5544820" cy="680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68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4B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E79F6"/>
    <w:multiLevelType w:val="hybridMultilevel"/>
    <w:tmpl w:val="55D2D8B0"/>
    <w:lvl w:ilvl="0" w:tplc="6DCA65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84B"/>
    <w:rsid w:val="00017C30"/>
    <w:rsid w:val="009242F6"/>
    <w:rsid w:val="009A0846"/>
    <w:rsid w:val="00CD4B07"/>
    <w:rsid w:val="00F6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084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08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084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08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ncbi.nlm.nih.gov/pubmed/25559004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Kravitz, Alexxai (NIH/NIDDK) [E]</dc:creator>
  <cp:lastModifiedBy>Kravitz, Alexxai (NIH/NIDDK) [E]</cp:lastModifiedBy>
  <cp:revision>1</cp:revision>
  <dcterms:created xsi:type="dcterms:W3CDTF">2015-03-09T18:14:00Z</dcterms:created>
  <dcterms:modified xsi:type="dcterms:W3CDTF">2015-03-09T22:41:00Z</dcterms:modified>
</cp:coreProperties>
</file>