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Краткосрочный (поурочный)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Раздел:</w:t>
            </w:r>
          </w:p>
        </w:tc>
        <w:tc>
          <w:tcPr>
            <w:tcW w:type="dxa" w:w="6912"/>
            <w:gridSpan w:val="4"/>
          </w:tcPr>
          <w:p>
            <w:r>
              <w:t>Механика</w:t>
            </w:r>
          </w:p>
        </w:tc>
      </w:tr>
      <w:tr>
        <w:tc>
          <w:tcPr>
            <w:tcW w:type="dxa" w:w="1728"/>
          </w:tcPr>
          <w:p>
            <w:r>
              <w:t>ФИО педагога:</w:t>
            </w:r>
          </w:p>
        </w:tc>
        <w:tc>
          <w:tcPr>
            <w:tcW w:type="dxa" w:w="6912"/>
            <w:gridSpan w:val="4"/>
          </w:tcPr>
          <w:p>
            <w:r>
              <w:t>Нургалиев М.К.</w:t>
            </w:r>
          </w:p>
        </w:tc>
      </w:tr>
      <w:tr>
        <w:tc>
          <w:tcPr>
            <w:tcW w:type="dxa" w:w="1728"/>
          </w:tcPr>
          <w:p>
            <w:r>
              <w:t>Дата:</w:t>
            </w:r>
          </w:p>
        </w:tc>
        <w:tc>
          <w:tcPr>
            <w:tcW w:type="dxa" w:w="6912"/>
            <w:gridSpan w:val="4"/>
          </w:tcPr>
          <w:p>
            <w:r>
              <w:t>12.11.2025</w:t>
            </w:r>
          </w:p>
        </w:tc>
      </w:tr>
      <w:tr>
        <w:tc>
          <w:tcPr>
            <w:tcW w:type="dxa" w:w="1728"/>
          </w:tcPr>
          <w:p>
            <w:r>
              <w:t>Класс:</w:t>
            </w:r>
          </w:p>
        </w:tc>
        <w:tc>
          <w:tcPr>
            <w:tcW w:type="dxa" w:w="6912"/>
            <w:gridSpan w:val="4"/>
          </w:tcPr>
          <w:p>
            <w:r>
              <w:t>10А</w:t>
            </w:r>
          </w:p>
        </w:tc>
      </w:tr>
      <w:tr>
        <w:tc>
          <w:tcPr>
            <w:tcW w:type="dxa" w:w="1728"/>
          </w:tcPr>
          <w:p>
            <w:r>
              <w:t>Тема урока:</w:t>
            </w:r>
          </w:p>
        </w:tc>
        <w:tc>
          <w:tcPr>
            <w:tcW w:type="dxa" w:w="6912"/>
            <w:gridSpan w:val="4"/>
          </w:tcPr>
          <w:p>
            <w:r>
              <w:t>Закон сохранения импульса</w:t>
            </w:r>
          </w:p>
        </w:tc>
      </w:tr>
      <w:tr>
        <w:tc>
          <w:tcPr>
            <w:tcW w:type="dxa" w:w="1728"/>
          </w:tcPr>
          <w:p>
            <w:r>
              <w:t>Цели обучения в соответствии с учебной программой:</w:t>
            </w:r>
          </w:p>
        </w:tc>
        <w:tc>
          <w:tcPr>
            <w:tcW w:type="dxa" w:w="6912"/>
            <w:gridSpan w:val="4"/>
          </w:tcPr>
          <w:p>
            <w:r>
              <w:t>10.1.4.1 применять законы сохранения при решении задач</w:t>
            </w:r>
          </w:p>
        </w:tc>
      </w:tr>
      <w:tr>
        <w:tc>
          <w:tcPr>
            <w:tcW w:type="dxa" w:w="1728"/>
          </w:tcPr>
          <w:p>
            <w:r>
              <w:t>Цели урока:</w:t>
            </w:r>
          </w:p>
        </w:tc>
        <w:tc>
          <w:tcPr>
            <w:tcW w:type="dxa" w:w="6912"/>
            <w:gridSpan w:val="4"/>
          </w:tcPr>
          <w:p>
            <w:r>
              <w:t>Все учащиеся смогут сформулировать закон сохранения импульса</w:t>
            </w:r>
          </w:p>
        </w:tc>
      </w:tr>
      <w:tr>
        <w:tc>
          <w:tcPr>
            <w:tcW w:type="dxa" w:w="8640"/>
            <w:gridSpan w:val="5"/>
          </w:tcPr>
          <w:p>
            <w:r>
              <w:t>Ход урока</w:t>
            </w:r>
          </w:p>
        </w:tc>
      </w:tr>
      <w:tr>
        <w:tc>
          <w:tcPr>
            <w:tcW w:type="dxa" w:w="1728"/>
          </w:tcPr>
          <w:p>
            <w:r>
              <w:t>Этап урока / время</w:t>
            </w:r>
          </w:p>
        </w:tc>
        <w:tc>
          <w:tcPr>
            <w:tcW w:type="dxa" w:w="1728"/>
          </w:tcPr>
          <w:p>
            <w:r>
              <w:t>Действия педагога</w:t>
            </w:r>
          </w:p>
        </w:tc>
        <w:tc>
          <w:tcPr>
            <w:tcW w:type="dxa" w:w="1728"/>
          </w:tcPr>
          <w:p>
            <w:r>
              <w:t>Действия ученика</w:t>
            </w:r>
          </w:p>
        </w:tc>
        <w:tc>
          <w:tcPr>
            <w:tcW w:type="dxa" w:w="1728"/>
          </w:tcPr>
          <w:p>
            <w:r>
              <w:t>Ресурсы</w:t>
            </w:r>
          </w:p>
        </w:tc>
        <w:tc>
          <w:tcPr>
            <w:tcW w:type="dxa" w:w="1728"/>
          </w:tcPr>
          <w:p>
            <w:r>
              <w:t>Оценивание</w:t>
            </w:r>
          </w:p>
        </w:tc>
      </w:tr>
      <w:tr>
        <w:tc>
          <w:tcPr>
            <w:tcW w:type="dxa" w:w="1728"/>
          </w:tcPr>
          <w:p>
            <w:r>
              <w:t>Начало урока, 0-5 мин</w:t>
            </w:r>
          </w:p>
        </w:tc>
        <w:tc>
          <w:tcPr>
            <w:tcW w:type="dxa" w:w="1728"/>
          </w:tcPr>
          <w:p>
            <w:r>
              <w:t>Приветствует, проверяет присутствующих</w:t>
            </w:r>
          </w:p>
        </w:tc>
        <w:tc>
          <w:tcPr>
            <w:tcW w:type="dxa" w:w="1728"/>
          </w:tcPr>
          <w:p>
            <w:r>
              <w:t>Готовятся к уроку</w:t>
            </w:r>
          </w:p>
        </w:tc>
        <w:tc>
          <w:tcPr>
            <w:tcW w:type="dxa" w:w="1728"/>
          </w:tcPr>
          <w:p>
            <w:r>
              <w:t>Классный журнал</w:t>
            </w:r>
          </w:p>
        </w:tc>
        <w:tc>
          <w:tcPr>
            <w:tcW w:type="dxa" w:w="1728"/>
          </w:tcPr>
          <w:p>
            <w:r>
              <w:t>Устная похвала</w:t>
            </w:r>
          </w:p>
        </w:tc>
      </w:tr>
      <w:tr>
        <w:tc>
          <w:tcPr>
            <w:tcW w:type="dxa" w:w="1728"/>
          </w:tcPr>
          <w:p>
            <w:r>
              <w:t>Середина урока, 5-30 мин</w:t>
            </w:r>
          </w:p>
        </w:tc>
        <w:tc>
          <w:tcPr>
            <w:tcW w:type="dxa" w:w="1728"/>
          </w:tcPr>
          <w:p>
            <w:r>
              <w:t>Объясняет закон сохранения импульса</w:t>
            </w:r>
          </w:p>
        </w:tc>
        <w:tc>
          <w:tcPr>
            <w:tcW w:type="dxa" w:w="1728"/>
          </w:tcPr>
          <w:p>
            <w:r>
              <w:t>Слушают, конспектируют, решают задачи</w:t>
            </w:r>
          </w:p>
        </w:tc>
        <w:tc>
          <w:tcPr>
            <w:tcW w:type="dxa" w:w="1728"/>
          </w:tcPr>
          <w:p>
            <w:r>
              <w:t>Учебник, доска</w:t>
            </w:r>
          </w:p>
        </w:tc>
        <w:tc>
          <w:tcPr>
            <w:tcW w:type="dxa" w:w="1728"/>
          </w:tcPr>
          <w:p>
            <w:r>
              <w:t>Взаимооценивание</w:t>
            </w:r>
          </w:p>
        </w:tc>
      </w:tr>
      <w:tr>
        <w:tc>
          <w:tcPr>
            <w:tcW w:type="dxa" w:w="1728"/>
          </w:tcPr>
          <w:p>
            <w:r>
              <w:t>Конец урока, 30-40 мин</w:t>
            </w:r>
          </w:p>
        </w:tc>
        <w:tc>
          <w:tcPr>
            <w:tcW w:type="dxa" w:w="1728"/>
          </w:tcPr>
          <w:p>
            <w:r>
              <w:t>Подводит итоги, задаёт домашнее задание</w:t>
            </w:r>
          </w:p>
        </w:tc>
        <w:tc>
          <w:tcPr>
            <w:tcW w:type="dxa" w:w="1728"/>
          </w:tcPr>
          <w:p>
            <w:r>
              <w:t>Записывают домашнее задание</w:t>
            </w:r>
          </w:p>
        </w:tc>
        <w:tc>
          <w:tcPr>
            <w:tcW w:type="dxa" w:w="1728"/>
          </w:tcPr>
          <w:p>
            <w:r>
              <w:t>Дневник</w:t>
            </w:r>
          </w:p>
        </w:tc>
        <w:tc>
          <w:tcPr>
            <w:tcW w:type="dxa" w:w="1728"/>
          </w:tcPr>
          <w:p>
            <w:r>
              <w:t>Самооценивание</w:t>
            </w:r>
          </w:p>
        </w:tc>
      </w:tr>
    </w:tbl>
    <w:p>
      <w:r>
        <w:t>Примечание: при наличии обучающихся с особыми образовательными потребностями предусматриваются действия по адаптации.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