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dwaita Sans" w:hAnsi="Adwaita Sans"/>
        </w:rPr>
      </w:pPr>
      <w:r>
        <w:rPr>
          <w:rFonts w:cs="Times New Roman" w:ascii="Adwaita Sans" w:hAnsi="Adwaita Sans"/>
          <w:b/>
          <w:bCs/>
          <w:sz w:val="52"/>
          <w:szCs w:val="52"/>
        </w:rPr>
        <w:t>SemLink</w:t>
      </w:r>
    </w:p>
    <w:p>
      <w:pPr>
        <w:pStyle w:val="Normal"/>
        <w:jc w:val="center"/>
        <w:rPr>
          <w:rFonts w:ascii="Adwaita Sans" w:hAnsi="Adwaita Sans"/>
        </w:rPr>
      </w:pPr>
      <w:r>
        <w:rPr>
          <w:rFonts w:cs="Times New Roman" w:ascii="Adwaita Sans" w:hAnsi="Adwaita Sans"/>
          <w:b/>
          <w:bCs/>
          <w:sz w:val="52"/>
          <w:szCs w:val="52"/>
        </w:rPr>
        <w:t xml:space="preserve"> </w:t>
      </w:r>
      <w:r>
        <w:rPr>
          <w:rFonts w:cs="Times New Roman" w:ascii="Adwaita Sans" w:hAnsi="Adwaita Sans"/>
          <w:b/>
          <w:bCs/>
          <w:sz w:val="52"/>
          <w:szCs w:val="52"/>
        </w:rPr>
        <w:t>Automatic Semantic Note Linking</w:t>
      </w:r>
    </w:p>
    <w:p>
      <w:pPr>
        <w:pStyle w:val="Normal"/>
        <w:jc w:val="center"/>
        <w:rPr>
          <w:rFonts w:ascii="Adwaita Sans" w:hAnsi="Adwaita Sans"/>
        </w:rPr>
      </w:pPr>
      <w:r>
        <w:rPr>
          <w:rFonts w:cs="Times New Roman" w:ascii="Adwaita Sans" w:hAnsi="Adwaita Sans"/>
          <w:sz w:val="40"/>
          <w:szCs w:val="40"/>
        </w:rPr>
        <w:t>BCSE332L</w:t>
      </w:r>
    </w:p>
    <w:p>
      <w:pPr>
        <w:pStyle w:val="Normal"/>
        <w:jc w:val="center"/>
        <w:rPr>
          <w:rFonts w:ascii="Adwaita Sans" w:hAnsi="Adwaita Sans"/>
        </w:rPr>
      </w:pPr>
      <w:r>
        <w:rPr>
          <w:rFonts w:cs="Times New Roman" w:ascii="Adwaita Sans" w:hAnsi="Adwaita Sans"/>
          <w:sz w:val="40"/>
          <w:szCs w:val="40"/>
        </w:rPr>
        <w:t>Deep Learning</w:t>
      </w:r>
    </w:p>
    <w:p>
      <w:pPr>
        <w:pStyle w:val="Normal"/>
        <w:jc w:val="center"/>
        <w:rPr>
          <w:rFonts w:ascii="Adwaita Sans" w:hAnsi="Adwaita Sans" w:cs="Times New Roman"/>
          <w:sz w:val="36"/>
          <w:szCs w:val="36"/>
        </w:rPr>
      </w:pPr>
      <w:r>
        <w:rPr>
          <w:rFonts w:cs="Times New Roman" w:ascii="Adwaita Sans" w:hAnsi="Adwaita Sans"/>
          <w:sz w:val="36"/>
          <w:szCs w:val="36"/>
        </w:rPr>
      </w:r>
    </w:p>
    <w:p>
      <w:pPr>
        <w:pStyle w:val="Normal"/>
        <w:jc w:val="center"/>
        <w:rPr>
          <w:rFonts w:ascii="Adwaita Sans" w:hAnsi="Adwaita Sans"/>
        </w:rPr>
      </w:pPr>
      <w:r>
        <w:rPr>
          <w:rFonts w:cs="Times New Roman" w:ascii="Adwaita Sans" w:hAnsi="Adwaita Sans"/>
          <w:sz w:val="32"/>
          <w:szCs w:val="32"/>
        </w:rPr>
        <w:t>Anumeya Sehgal (23BAI1203)</w:t>
      </w:r>
    </w:p>
    <w:p>
      <w:pPr>
        <w:pStyle w:val="Normal"/>
        <w:jc w:val="center"/>
        <w:rPr>
          <w:rFonts w:ascii="Adwaita Sans" w:hAnsi="Adwaita Sans"/>
        </w:rPr>
      </w:pPr>
      <w:r>
        <w:rPr>
          <w:rFonts w:cs="Times New Roman" w:ascii="Adwaita Sans" w:hAnsi="Adwaita Sans"/>
          <w:sz w:val="32"/>
          <w:szCs w:val="32"/>
        </w:rPr>
        <w:t>Kanishq Tiwari (23BAI1150)</w:t>
      </w:r>
    </w:p>
    <w:p>
      <w:pPr>
        <w:pStyle w:val="Normal"/>
        <w:jc w:val="center"/>
        <w:rPr>
          <w:rFonts w:ascii="Adwaita Sans" w:hAnsi="Adwaita Sans" w:cs="Times New Roman"/>
          <w:sz w:val="36"/>
          <w:szCs w:val="36"/>
        </w:rPr>
      </w:pPr>
      <w:r>
        <w:rPr>
          <w:rFonts w:cs="Times New Roman" w:ascii="Adwaita Sans" w:hAnsi="Adwaita Sans"/>
          <w:sz w:val="36"/>
          <w:szCs w:val="36"/>
        </w:rPr>
      </w:r>
    </w:p>
    <w:p>
      <w:pPr>
        <w:pStyle w:val="Normal"/>
        <w:jc w:val="center"/>
        <w:rPr>
          <w:rFonts w:ascii="Adwaita Sans" w:hAnsi="Adwaita Sans"/>
        </w:rPr>
      </w:pPr>
      <w:r>
        <w:rPr/>
        <w:drawing>
          <wp:inline distT="0" distB="0" distL="0" distR="0">
            <wp:extent cx="5731510" cy="2148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1510" cy="2148205"/>
                    </a:xfrm>
                    <a:prstGeom prst="rect">
                      <a:avLst/>
                    </a:prstGeom>
                    <a:noFill/>
                  </pic:spPr>
                </pic:pic>
              </a:graphicData>
            </a:graphic>
          </wp:inline>
        </w:drawing>
      </w:r>
    </w:p>
    <w:p>
      <w:pPr>
        <w:pStyle w:val="Normal"/>
        <w:jc w:val="center"/>
        <w:rPr>
          <w:rFonts w:ascii="Adwaita Sans" w:hAnsi="Adwaita Sans"/>
        </w:rPr>
      </w:pPr>
      <w:r>
        <w:rPr>
          <w:rFonts w:cs="Times New Roman" w:ascii="Adwaita Sans" w:hAnsi="Adwaita Sans"/>
          <w:i/>
          <w:iCs/>
          <w:sz w:val="32"/>
          <w:szCs w:val="32"/>
        </w:rPr>
        <w:t xml:space="preserve">Under the guidance of </w:t>
      </w:r>
    </w:p>
    <w:p>
      <w:pPr>
        <w:pStyle w:val="Normal"/>
        <w:jc w:val="center"/>
        <w:rPr>
          <w:rFonts w:ascii="Adwaita Sans" w:hAnsi="Adwaita Sans"/>
        </w:rPr>
      </w:pPr>
      <w:r>
        <w:rPr>
          <w:rFonts w:cs="Times New Roman" w:ascii="Adwaita Sans" w:hAnsi="Adwaita Sans"/>
          <w:sz w:val="36"/>
          <w:szCs w:val="36"/>
        </w:rPr>
        <w:t>Thomas Abraham J</w:t>
      </w:r>
    </w:p>
    <w:p>
      <w:pPr>
        <w:pStyle w:val="Normal"/>
        <w:jc w:val="center"/>
        <w:rPr>
          <w:rFonts w:ascii="Adwaita Sans" w:hAnsi="Adwaita Sans" w:cs="Times New Roman"/>
          <w:sz w:val="36"/>
          <w:szCs w:val="36"/>
        </w:rPr>
      </w:pPr>
      <w:r>
        <w:rPr>
          <w:rFonts w:cs="Times New Roman" w:ascii="Adwaita Sans" w:hAnsi="Adwaita Sans"/>
          <w:sz w:val="36"/>
          <w:szCs w:val="36"/>
        </w:rPr>
      </w:r>
    </w:p>
    <w:p>
      <w:pPr>
        <w:pStyle w:val="Normal"/>
        <w:jc w:val="center"/>
        <w:rPr>
          <w:rFonts w:ascii="Adwaita Sans" w:hAnsi="Adwaita Sans"/>
        </w:rPr>
      </w:pPr>
      <w:r>
        <w:rPr>
          <w:rFonts w:cs="Times New Roman" w:ascii="Adwaita Sans" w:hAnsi="Adwaita Sans"/>
          <w:sz w:val="36"/>
          <w:szCs w:val="36"/>
        </w:rPr>
        <w:t>School of Computer Science and Engineering</w:t>
      </w:r>
    </w:p>
    <w:p>
      <w:pPr>
        <w:pStyle w:val="Normal"/>
        <w:jc w:val="center"/>
        <w:rPr>
          <w:rFonts w:ascii="Adwaita Sans" w:hAnsi="Adwaita Sans"/>
        </w:rPr>
      </w:pPr>
      <w:r>
        <w:rPr>
          <w:rFonts w:cs="Times New Roman" w:ascii="Adwaita Sans" w:hAnsi="Adwaita Sans"/>
          <w:sz w:val="36"/>
          <w:szCs w:val="36"/>
        </w:rPr>
        <w:t>Vellore Institute of Technology, Vellore</w:t>
      </w:r>
    </w:p>
    <w:p>
      <w:pPr>
        <w:pStyle w:val="Normal"/>
        <w:jc w:val="center"/>
        <w:rPr>
          <w:rFonts w:ascii="Adwaita Sans" w:hAnsi="Adwaita Sans" w:cs="Times New Roman"/>
          <w:sz w:val="36"/>
          <w:szCs w:val="36"/>
        </w:rPr>
      </w:pPr>
      <w:r>
        <w:rPr>
          <w:rFonts w:cs="Times New Roman" w:ascii="Adwaita Sans" w:hAnsi="Adwaita Sans"/>
          <w:sz w:val="36"/>
          <w:szCs w:val="36"/>
        </w:rPr>
        <w:t>April, 2026</w:t>
      </w:r>
    </w:p>
    <w:p>
      <w:pPr>
        <w:pStyle w:val="Heading2"/>
        <w:spacing w:before="0" w:after="0"/>
        <w:rPr>
          <w:vanish/>
          <w:specVanish/>
        </w:rPr>
      </w:pPr>
      <w:r>
        <w:rPr/>
        <w:t>Problem Statement</w:t>
      </w:r>
    </w:p>
    <w:p>
      <w:pPr>
        <w:pStyle w:val="Normal"/>
        <w:jc w:val="start"/>
        <w:rPr>
          <w:rFonts w:ascii="Montserrat" w:hAnsi="Montserrat"/>
        </w:rPr>
      </w:pPr>
      <w:r>
        <w:rPr/>
      </w:r>
      <w:r>
        <w:rPr>
          <w:rFonts w:cs="Times New Roman" w:ascii="Montserrat" w:hAnsi="Montserrat"/>
          <w:sz w:val="32"/>
          <w:szCs w:val="32"/>
        </w:rPr>
        <w:t xml:space="preserve"> </w:t>
      </w:r>
    </w:p>
    <w:p>
      <w:pPr>
        <w:pStyle w:val="BodyText"/>
        <w:rPr>
          <w:rFonts w:cs="Times New Roman"/>
          <w:sz w:val="28"/>
          <w:szCs w:val="28"/>
        </w:rPr>
      </w:pPr>
      <w:r>
        <w:rPr/>
        <w:t>Graph-based note systems rely heavily on manual linking, which fundamentally does not scale with large or long-term note collections. As a result, relationships between conceptually related notes remain unexpressed, severely limiting the usefulness of graph visualizations. Furthermore, similar automated solutions aimed at "document linking" for human interpretability consistently fall short by focusing on purely keyword-matching approaches. These rigid, lexical methods fail to capture underlying semantic meanings, resulting in incomplete networks that miss nuanced connections.</w:t>
      </w:r>
    </w:p>
    <w:p>
      <w:pPr>
        <w:pStyle w:val="Normal"/>
        <w:jc w:val="both"/>
        <w:rPr>
          <w:rFonts w:ascii="Montserrat" w:hAnsi="Montserrat" w:cs="Times New Roman"/>
          <w:sz w:val="28"/>
          <w:szCs w:val="28"/>
        </w:rPr>
      </w:pPr>
      <w:r>
        <w:rPr>
          <w:rFonts w:cs="Times New Roman" w:ascii="Montserrat" w:hAnsi="Montserrat"/>
          <w:sz w:val="28"/>
          <w:szCs w:val="28"/>
        </w:rPr>
      </w:r>
    </w:p>
    <w:p>
      <w:pPr>
        <w:pStyle w:val="Heading2"/>
        <w:spacing w:before="0" w:after="0"/>
        <w:rPr>
          <w:vanish/>
          <w:specVanish/>
        </w:rPr>
      </w:pPr>
      <w:r>
        <w:rPr/>
        <w:t>Objective</w:t>
      </w:r>
    </w:p>
    <w:p>
      <w:pPr>
        <w:pStyle w:val="Normal"/>
        <w:jc w:val="both"/>
        <w:rPr>
          <w:rFonts w:ascii="Montserrat" w:hAnsi="Montserrat"/>
        </w:rPr>
      </w:pPr>
      <w:r>
        <w:rPr/>
      </w:r>
      <w:r>
        <w:rPr>
          <w:rFonts w:cs="Times New Roman" w:ascii="Montserrat" w:hAnsi="Montserrat"/>
          <w:sz w:val="32"/>
          <w:szCs w:val="32"/>
        </w:rPr>
        <w:t xml:space="preserve"> </w:t>
      </w:r>
    </w:p>
    <w:p>
      <w:pPr>
        <w:pStyle w:val="BodyText"/>
        <w:rPr>
          <w:rFonts w:cs="Times New Roman"/>
          <w:sz w:val="28"/>
          <w:szCs w:val="28"/>
        </w:rPr>
      </w:pPr>
      <w:r>
        <w:rPr/>
        <w:t>The primary objective of SemLink is to eliminate the friction of manual knowledge management by automating the discovery of meaningful connections within a note vault. Specifically, this project aims to achieve the following core goals:</w:t>
      </w:r>
    </w:p>
    <w:p>
      <w:pPr>
        <w:pStyle w:val="BodyText"/>
        <w:numPr>
          <w:ilvl w:val="0"/>
          <w:numId w:val="1"/>
        </w:numPr>
        <w:rPr>
          <w:rFonts w:cs="Times New Roman"/>
        </w:rPr>
      </w:pPr>
      <w:r>
        <w:rPr>
          <w:rFonts w:cs="Times New Roman"/>
          <w:b/>
          <w:bCs/>
          <w:sz w:val="22"/>
          <w:szCs w:val="22"/>
        </w:rPr>
        <w:t>Infer Semantic Relationships:</w:t>
      </w:r>
      <w:r>
        <w:rPr>
          <w:rFonts w:cs="Times New Roman"/>
          <w:sz w:val="22"/>
          <w:szCs w:val="22"/>
        </w:rPr>
        <w:t xml:space="preserve"> Automatically identify deep, contextual connections between unstructured textual notes using Natural Language Processing (NLP), completely removing the need for manual link generation.</w:t>
      </w:r>
    </w:p>
    <w:p>
      <w:pPr>
        <w:pStyle w:val="BodyText"/>
        <w:numPr>
          <w:ilvl w:val="0"/>
          <w:numId w:val="1"/>
        </w:numPr>
        <w:rPr>
          <w:rFonts w:cs="Times New Roman"/>
        </w:rPr>
      </w:pPr>
      <w:r>
        <w:rPr>
          <w:rFonts w:cs="Times New Roman"/>
          <w:b/>
          <w:bCs/>
          <w:sz w:val="22"/>
          <w:szCs w:val="22"/>
        </w:rPr>
        <w:t>Compare Similarity Methods:</w:t>
      </w:r>
      <w:r>
        <w:rPr>
          <w:rFonts w:cs="Times New Roman"/>
          <w:sz w:val="22"/>
          <w:szCs w:val="22"/>
        </w:rPr>
        <w:t xml:space="preserve"> Evaluate and contrast the effectiveness of traditional, keyword-based baseline models (TF-IDF) against advanced neural embedding architectures (Sentence-BERT and OpenAI API) for link discovery.</w:t>
      </w:r>
    </w:p>
    <w:p>
      <w:pPr>
        <w:pStyle w:val="BodyText"/>
        <w:numPr>
          <w:ilvl w:val="0"/>
          <w:numId w:val="1"/>
        </w:numPr>
        <w:rPr>
          <w:rFonts w:cs="Times New Roman"/>
        </w:rPr>
      </w:pPr>
      <w:r>
        <w:rPr>
          <w:rFonts w:cs="Times New Roman"/>
          <w:b/>
          <w:bCs/>
          <w:sz w:val="22"/>
          <w:szCs w:val="22"/>
        </w:rPr>
        <w:t>Construct a Sparse, Interpretable Graph:</w:t>
      </w:r>
      <w:r>
        <w:rPr>
          <w:rFonts w:cs="Times New Roman"/>
          <w:sz w:val="22"/>
          <w:szCs w:val="22"/>
        </w:rPr>
        <w:t xml:space="preserve"> Generate a highly readable knowledge graph by intelligently filtering weak connections (e.g., via similarity thresholds and K-Nearest Neighbor strategies), ensuring the resulting visualization prioritizes structural discovery over visual clutter.</w:t>
      </w:r>
    </w:p>
    <w:p>
      <w:pPr>
        <w:pStyle w:val="BodyText"/>
        <w:numPr>
          <w:ilvl w:val="0"/>
          <w:numId w:val="1"/>
        </w:numPr>
        <w:rPr>
          <w:rFonts w:cs="Times New Roman"/>
        </w:rPr>
      </w:pPr>
      <w:r>
        <w:rPr>
          <w:rFonts w:cs="Times New Roman"/>
          <w:b/>
          <w:bCs/>
          <w:sz w:val="22"/>
          <w:szCs w:val="22"/>
        </w:rPr>
        <w:t>Analyze Graph Structure and Semantic Coherence:</w:t>
      </w:r>
      <w:r>
        <w:rPr>
          <w:rFonts w:cs="Times New Roman"/>
          <w:sz w:val="22"/>
          <w:szCs w:val="22"/>
        </w:rPr>
        <w:t xml:space="preserve"> Compute complex graph metrics and apply community detection algorithms to evaluate the network's structural integrity and automatically aggregate related notes into distinct topic clusters.</w:t>
      </w:r>
    </w:p>
    <w:p>
      <w:pPr>
        <w:pStyle w:val="BodyText"/>
        <w:numPr>
          <w:ilvl w:val="0"/>
          <w:numId w:val="1"/>
        </w:numPr>
        <w:rPr>
          <w:rFonts w:ascii="Montserrat" w:hAnsi="Montserrat"/>
          <w:sz w:val="22"/>
          <w:szCs w:val="22"/>
        </w:rPr>
      </w:pPr>
      <w:r>
        <w:rPr>
          <w:rFonts w:cs="Times New Roman"/>
          <w:b/>
          <w:bCs/>
          <w:sz w:val="22"/>
          <w:szCs w:val="22"/>
        </w:rPr>
        <w:t>Provide an Accessible CLI Tool:</w:t>
      </w:r>
      <w:r>
        <w:rPr>
          <w:rFonts w:cs="Times New Roman"/>
          <w:sz w:val="22"/>
          <w:szCs w:val="22"/>
        </w:rPr>
        <w:t xml:space="preserve"> Deliver a robust Command Line Interface (CLI) that packages the entire data pipeline—from ingestion to visualization—into an intuitive tool, allowing for easy usage and incremental vault synchronization.</w:t>
      </w:r>
      <w:r>
        <w:br w:type="page"/>
      </w:r>
    </w:p>
    <w:p>
      <w:pPr>
        <w:pStyle w:val="Heading2"/>
        <w:spacing w:before="0" w:after="80"/>
        <w:rPr/>
      </w:pPr>
      <w:r>
        <w:rPr/>
        <w:t>Selected Deep Learning Approach</w:t>
      </w:r>
    </w:p>
    <w:p>
      <w:pPr>
        <w:pStyle w:val="BodyText"/>
        <w:rPr>
          <w:rFonts w:cs="Times New Roman"/>
          <w:sz w:val="28"/>
          <w:szCs w:val="28"/>
        </w:rPr>
      </w:pPr>
      <w:r>
        <w:rPr/>
        <w:t>To capture semantic similarity accurately and overcome the brittle nature of exact-keyword matching, SemLink extends beyond purely lexical approaches by introducing a robust, dual-backend neural embedding architecture. This design provides the flexibility to prioritize either local data privacy or maximum semantic resolution.</w:t>
      </w:r>
    </w:p>
    <w:p>
      <w:pPr>
        <w:pStyle w:val="Normal"/>
        <w:jc w:val="both"/>
        <w:rPr>
          <w:rFonts w:ascii="Montserrat" w:hAnsi="Montserrat" w:cs="Times New Roman"/>
          <w:sz w:val="28"/>
          <w:szCs w:val="28"/>
        </w:rPr>
      </w:pPr>
      <w:r>
        <w:rPr>
          <w:rFonts w:cs="Times New Roman" w:ascii="Montserrat" w:hAnsi="Montserrat"/>
          <w:sz w:val="28"/>
          <w:szCs w:val="28"/>
        </w:rPr>
      </w:r>
    </w:p>
    <w:p>
      <w:pPr>
        <w:pStyle w:val="BodyText"/>
        <w:numPr>
          <w:ilvl w:val="0"/>
          <w:numId w:val="2"/>
        </w:numPr>
        <w:rPr>
          <w:rFonts w:cs="Times New Roman"/>
        </w:rPr>
      </w:pPr>
      <w:r>
        <w:rPr>
          <w:rFonts w:cs="Times New Roman"/>
          <w:b/>
          <w:bCs/>
          <w:sz w:val="22"/>
          <w:szCs w:val="22"/>
        </w:rPr>
        <w:t>Baseline vs. Neural Architectures:</w:t>
      </w:r>
      <w:r>
        <w:rPr>
          <w:rFonts w:cs="Times New Roman"/>
          <w:sz w:val="22"/>
          <w:szCs w:val="22"/>
        </w:rPr>
        <w:t xml:space="preserve"> While the system retains a scikit-learn TF-IDF baseline as its default for lightweight, CPU-only execution, its core deep learning capabilities rely on transformer-based dense vector representations.</w:t>
      </w:r>
    </w:p>
    <w:p>
      <w:pPr>
        <w:pStyle w:val="BodyText"/>
        <w:numPr>
          <w:ilvl w:val="0"/>
          <w:numId w:val="2"/>
        </w:numPr>
        <w:rPr>
          <w:rFonts w:cs="Times New Roman"/>
        </w:rPr>
      </w:pPr>
      <w:r>
        <w:rPr>
          <w:rFonts w:cs="Times New Roman"/>
          <w:b/>
          <w:bCs/>
          <w:sz w:val="22"/>
          <w:szCs w:val="22"/>
        </w:rPr>
        <w:t>Local Processing (Sentence-BERT):</w:t>
      </w:r>
      <w:r>
        <w:rPr>
          <w:rFonts w:cs="Times New Roman"/>
          <w:sz w:val="22"/>
          <w:szCs w:val="22"/>
        </w:rPr>
        <w:t xml:space="preserve"> For rapid, offline, and privacy-preserving inference, the system integrates the sentence-transformers library backed by PyTorch. By default, it deploys the all-MiniLM-L6-v2 model, mapping texts into a 384-dimensional vector space. For higher quality semantic mapping at the cost of slightly increased processing time, the architecture also supports the heavier, 768-dimensional all-mpnet-base-v2 model.</w:t>
      </w:r>
    </w:p>
    <w:p>
      <w:pPr>
        <w:pStyle w:val="BodyText"/>
        <w:numPr>
          <w:ilvl w:val="0"/>
          <w:numId w:val="2"/>
        </w:numPr>
        <w:rPr>
          <w:sz w:val="22"/>
          <w:szCs w:val="22"/>
        </w:rPr>
      </w:pPr>
      <w:r>
        <w:rPr>
          <w:rFonts w:cs="Times New Roman"/>
          <w:b/>
          <w:bCs/>
          <w:sz w:val="22"/>
          <w:szCs w:val="22"/>
        </w:rPr>
        <w:t>Cloud-Accelerated High-Fidelity:</w:t>
      </w:r>
      <w:r>
        <w:rPr>
          <w:rFonts w:cs="Times New Roman"/>
          <w:sz w:val="22"/>
          <w:szCs w:val="22"/>
        </w:rPr>
        <w:t xml:space="preserve"> For state-of-the-art semantic resolution, SemLink interfaces directly with OpenAI's cloud-based embedding endpoints. Utilizing the text-embedding-3-small or text-embedding-3-large models, the system generates ultra-dense, 1536-dimensional or 3072-dimensional embeddings, allowing for the detection of highly abstract conceptual overlaps across disparate academic subjects.</w:t>
      </w:r>
    </w:p>
    <w:p>
      <w:pPr>
        <w:pStyle w:val="BodyText"/>
        <w:numPr>
          <w:ilvl w:val="0"/>
          <w:numId w:val="2"/>
        </w:numPr>
        <w:rPr>
          <w:sz w:val="22"/>
          <w:szCs w:val="22"/>
        </w:rPr>
      </w:pPr>
      <w:r>
        <w:rPr>
          <w:b/>
          <w:bCs/>
          <w:sz w:val="22"/>
          <w:szCs w:val="22"/>
        </w:rPr>
        <w:t>LLM Topic Label Generation</w:t>
      </w:r>
      <w:r>
        <w:rPr>
          <w:sz w:val="22"/>
          <w:szCs w:val="22"/>
        </w:rPr>
        <w:t>: To generate descriptive topic labels for detected clusters, the system uses OpenAI GPT-4o-mini. This model analyzes note titles and content excerpts from each cluster and produces a 2-4 word descriptive label (e.g., "Computer Networks", "Machine Learning").</w:t>
      </w:r>
    </w:p>
    <w:p>
      <w:pPr>
        <w:pStyle w:val="BodyText"/>
        <w:numPr>
          <w:ilvl w:val="0"/>
          <w:numId w:val="2"/>
        </w:numPr>
        <w:rPr>
          <w:rFonts w:cs="Times New Roman"/>
        </w:rPr>
      </w:pPr>
      <w:r>
        <w:rPr>
          <w:rFonts w:cs="Times New Roman"/>
          <w:b/>
          <w:bCs/>
          <w:sz w:val="22"/>
          <w:szCs w:val="22"/>
        </w:rPr>
        <w:t>Mathematical Similarity Computation:</w:t>
      </w:r>
      <w:r>
        <w:rPr>
          <w:rFonts w:cs="Times New Roman"/>
          <w:sz w:val="22"/>
          <w:szCs w:val="22"/>
        </w:rPr>
        <w:t xml:space="preserve"> Regardless of the backend model selected, the high-dimensional vectors are evaluated for conceptual overlap using Cosine Similarity. The embeddings undergo L2 normalization, and the system computes a pairwise similarity matrix (, where is the total number of notes) to assign a quantitative confidence score to every potential link in the vault.</w:t>
      </w:r>
    </w:p>
    <w:p>
      <w:pPr>
        <w:pStyle w:val="BodyText"/>
        <w:rPr>
          <w:sz w:val="22"/>
          <w:szCs w:val="22"/>
        </w:rPr>
      </w:pPr>
      <w:r>
        <w:rPr>
          <w:sz w:val="22"/>
          <w:szCs w:val="22"/>
        </w:rPr>
      </w:r>
    </w:p>
    <w:p>
      <w:pPr>
        <w:pStyle w:val="Heading2"/>
        <w:rPr/>
      </w:pPr>
      <w:r>
        <w:rPr/>
        <w:t>Dataset Description</w:t>
      </w:r>
    </w:p>
    <w:p>
      <w:pPr>
        <w:pStyle w:val="BodyText"/>
        <w:rPr>
          <w:rFonts w:cs="Times New Roman"/>
          <w:sz w:val="28"/>
          <w:szCs w:val="28"/>
        </w:rPr>
      </w:pPr>
      <w:r>
        <w:rPr/>
        <w:t>The dataset utilized for evaluating this methodology is a custom, locally hosted repository consisting of the personal academic notes and reference materials accumulated by the project's primary collaborator over the duration of their undergraduate degree.</w:t>
      </w:r>
    </w:p>
    <w:p>
      <w:pPr>
        <w:pStyle w:val="BodyText"/>
        <w:numPr>
          <w:ilvl w:val="0"/>
          <w:numId w:val="3"/>
        </w:numPr>
        <w:rPr>
          <w:rFonts w:cs="Times New Roman"/>
        </w:rPr>
      </w:pPr>
      <w:r>
        <w:rPr>
          <w:rFonts w:cs="Times New Roman"/>
          <w:b/>
          <w:bCs/>
          <w:sz w:val="22"/>
          <w:szCs w:val="22"/>
        </w:rPr>
        <w:t>Volume and Evolution:</w:t>
      </w:r>
      <w:r>
        <w:rPr>
          <w:rFonts w:cs="Times New Roman"/>
          <w:sz w:val="22"/>
          <w:szCs w:val="22"/>
        </w:rPr>
        <w:t xml:space="preserve"> Unlike static, pre-packaged academic datasets (like ArXiv abstracts), this dataset represents an organic, evolving "second brain" developed through personal knowledge management. Because it is a genuine personal vault, it contains a high degree of variance in note length, structure, and formatting.</w:t>
      </w:r>
    </w:p>
    <w:p>
      <w:pPr>
        <w:pStyle w:val="BodyText"/>
        <w:numPr>
          <w:ilvl w:val="0"/>
          <w:numId w:val="3"/>
        </w:numPr>
        <w:rPr>
          <w:rFonts w:cs="Times New Roman"/>
        </w:rPr>
      </w:pPr>
      <w:r>
        <w:rPr>
          <w:rFonts w:cs="Times New Roman"/>
          <w:b/>
          <w:bCs/>
          <w:sz w:val="22"/>
          <w:szCs w:val="22"/>
        </w:rPr>
        <w:t>Multimodal Document Formats:</w:t>
      </w:r>
      <w:r>
        <w:rPr>
          <w:rFonts w:cs="Times New Roman"/>
          <w:sz w:val="22"/>
          <w:szCs w:val="22"/>
        </w:rPr>
        <w:t xml:space="preserve"> Because academic study is rarely confined to a single format, the dataset is inherently heterogeneous. It primarily consists of unstructured Markdown (.md) files representing the developer's daily lecture notes, conceptual summaries, and coding snippets.</w:t>
      </w:r>
    </w:p>
    <w:p>
      <w:pPr>
        <w:pStyle w:val="BodyText"/>
        <w:numPr>
          <w:ilvl w:val="0"/>
          <w:numId w:val="3"/>
        </w:numPr>
        <w:rPr>
          <w:sz w:val="22"/>
          <w:szCs w:val="22"/>
        </w:rPr>
      </w:pPr>
      <w:r>
        <w:rPr>
          <w:rFonts w:cs="Times New Roman"/>
          <w:b/>
          <w:bCs/>
          <w:sz w:val="22"/>
          <w:szCs w:val="22"/>
        </w:rPr>
        <w:t>External Artifacts:</w:t>
      </w:r>
      <w:r>
        <w:rPr>
          <w:rFonts w:cs="Times New Roman"/>
          <w:sz w:val="22"/>
          <w:szCs w:val="22"/>
        </w:rPr>
        <w:t xml:space="preserve"> To capture a realistic, comprehensive research environment, the dataset also incorporates raw text (.txt), portable document formats (.pdf) representing published research papers and textbooks, and Microsoft Word documents (.docx) representing drafted reports and university assignments. This multimodality requires an aggressive, unified ingestion pipeline to standardize the text before it reaches the deep learning models.</w:t>
      </w:r>
    </w:p>
    <w:p>
      <w:pPr>
        <w:pStyle w:val="Normal"/>
        <w:jc w:val="both"/>
        <w:rPr>
          <w:rFonts w:ascii="Montserrat" w:hAnsi="Montserrat" w:cs="Times New Roman"/>
          <w:sz w:val="36"/>
          <w:szCs w:val="36"/>
        </w:rPr>
      </w:pPr>
      <w:r>
        <w:rPr>
          <w:rFonts w:cs="Times New Roman" w:ascii="Montserrat" w:hAnsi="Montserrat"/>
          <w:sz w:val="36"/>
          <w:szCs w:val="36"/>
        </w:rPr>
      </w:r>
    </w:p>
    <w:p>
      <w:pPr>
        <w:pStyle w:val="Heading2"/>
        <w:rPr/>
      </w:pPr>
      <w:r>
        <w:rPr/>
        <w:t>Methodology</w:t>
      </w:r>
    </w:p>
    <w:p>
      <w:pPr>
        <w:pStyle w:val="BodyText"/>
        <w:rPr>
          <w:rFonts w:ascii="Montserrat" w:hAnsi="Montserrat"/>
        </w:rPr>
      </w:pPr>
      <w:r>
        <w:rPr/>
        <w:t>The core methodology involves a sequential, decoupled data pipeline that transitions unstructured local files into an interconnected knowledge graph. The system ingests notes from a specified vault directory, generates dense semantic embeddings, infers topological links based on mathematical similarity, analyzes the resulting graph metrics, and finally exports the network for visualization. Because neural embedding models are highly sensitive to formatting noise and context length, the foundation of this entire pipeline relies on an aggressive, highly robust data ingestion and text normalization architecture.</w:t>
      </w:r>
    </w:p>
    <w:p>
      <w:pPr>
        <w:pStyle w:val="Heading3"/>
        <w:rPr>
          <w:rFonts w:ascii="Montserrat" w:hAnsi="Montserrat"/>
        </w:rPr>
      </w:pPr>
      <w:r>
        <w:rPr>
          <w:rFonts w:cs="Times New Roman" w:ascii="Montserrat" w:hAnsi="Montserrat"/>
          <w:sz w:val="28"/>
          <w:szCs w:val="28"/>
        </w:rPr>
        <w:t>Data Preprocessing Steps</w:t>
      </w:r>
    </w:p>
    <w:p>
      <w:pPr>
        <w:pStyle w:val="BodyText"/>
        <w:rPr>
          <w:rFonts w:ascii="Montserrat" w:hAnsi="Montserrat"/>
        </w:rPr>
      </w:pPr>
      <w:r>
        <w:rPr>
          <w:b/>
        </w:rPr>
        <w:t>File Discovery and Noise Exclusion</w:t>
      </w:r>
      <w:r>
        <w:rPr/>
        <w:t xml:space="preserve">: The ingestion engine utilizes a top-down directory traversal algorithm (os.walk) to map the vault. To prevent the system from processing system artifacts or software dependencies, it explicitly bypasses high-priority exclusion directories (such as .git, node_modules, </w:t>
      </w:r>
      <w:r>
        <w:rPr>
          <w:b/>
        </w:rPr>
        <w:t>pycache</w:t>
      </w:r>
      <w:r>
        <w:rPr/>
        <w:t>, and all hidden .folders). Furthermore, it supports a .semLinkIgnore file for custom gitignore-style patterns. It employs pattern matching (fnmatch) to filter out semantic noise by ignoring non-content files like LICENSE*, package locks (</w:t>
      </w:r>
      <w:r>
        <w:rPr>
          <w:i/>
        </w:rPr>
        <w:t>.lock), and compiled binaries (</w:t>
      </w:r>
      <w:r>
        <w:rPr/>
        <w:t>.pyc, *.exe, *.dll).</w:t>
      </w:r>
    </w:p>
    <w:p>
      <w:pPr>
        <w:pStyle w:val="BodyText"/>
        <w:rPr>
          <w:rFonts w:ascii="Montserrat" w:hAnsi="Montserrat"/>
        </w:rPr>
      </w:pPr>
      <w:r>
        <w:rPr>
          <w:b/>
        </w:rPr>
        <w:t>Format-Specific Content Extraction</w:t>
      </w:r>
      <w:r>
        <w:rPr/>
        <w:t>: Because the vault contains multimodal document types, the system applies specific extraction logic based on file extensions:</w:t>
      </w:r>
    </w:p>
    <w:p>
      <w:pPr>
        <w:pStyle w:val="BodyText"/>
        <w:numPr>
          <w:ilvl w:val="0"/>
          <w:numId w:val="4"/>
        </w:numPr>
        <w:tabs>
          <w:tab w:val="clear" w:pos="720"/>
          <w:tab w:val="left" w:pos="0" w:leader="none"/>
        </w:tabs>
        <w:ind w:hanging="283" w:start="709"/>
        <w:rPr>
          <w:rFonts w:ascii="Montserrat" w:hAnsi="Montserrat"/>
        </w:rPr>
      </w:pPr>
      <w:r>
        <w:rPr>
          <w:b/>
        </w:rPr>
        <w:t>PDFs</w:t>
      </w:r>
      <w:r>
        <w:rPr/>
        <w:t>: The system utilizes the pypdf library to iterate through the document, extracting raw text from all pages. These pages are then concatenated using double newlines to programmatically simulate standard paragraph structures for the embedding model.</w:t>
      </w:r>
    </w:p>
    <w:p>
      <w:pPr>
        <w:pStyle w:val="BodyText"/>
        <w:numPr>
          <w:ilvl w:val="0"/>
          <w:numId w:val="4"/>
        </w:numPr>
        <w:tabs>
          <w:tab w:val="clear" w:pos="720"/>
          <w:tab w:val="left" w:pos="0" w:leader="none"/>
        </w:tabs>
        <w:ind w:hanging="283" w:start="709"/>
        <w:rPr>
          <w:rFonts w:ascii="Montserrat" w:hAnsi="Montserrat"/>
        </w:rPr>
      </w:pPr>
      <w:r>
        <w:rPr>
          <w:b/>
        </w:rPr>
        <w:t>Word Documents (.docx)</w:t>
      </w:r>
      <w:r>
        <w:rPr/>
        <w:t>: Using the python-docx library, the system iterates through the document's XML structure, extracting only the paragraphs that actively contain text strings, strategically skipping empty formatting blocks, images, and layout elements.</w:t>
      </w:r>
    </w:p>
    <w:p>
      <w:pPr>
        <w:pStyle w:val="BodyText"/>
        <w:numPr>
          <w:ilvl w:val="0"/>
          <w:numId w:val="4"/>
        </w:numPr>
        <w:tabs>
          <w:tab w:val="clear" w:pos="720"/>
          <w:tab w:val="left" w:pos="0" w:leader="none"/>
        </w:tabs>
        <w:ind w:hanging="283" w:start="709"/>
        <w:rPr>
          <w:rFonts w:ascii="Montserrat" w:hAnsi="Montserrat"/>
        </w:rPr>
      </w:pPr>
      <w:r>
        <w:rPr>
          <w:b/>
        </w:rPr>
        <w:t>Markdown and Plain Text (.md, .txt)</w:t>
      </w:r>
      <w:r>
        <w:rPr/>
        <w:t>: To prevent runtime crashes caused by mixed-origin files, these documents are loaded using a robust, multi-pass encoding detection sequence. The system attempts to read the file as utf-8, followed by utf-8-sig, latin-1, and cp1252. If all standard encodings fail, it implements a fallback mechanism that reads the file while replacing corrupted characters to ensure the pipeline is not halted by a single malformed file.</w:t>
      </w:r>
    </w:p>
    <w:p>
      <w:pPr>
        <w:pStyle w:val="BodyText"/>
        <w:rPr>
          <w:rFonts w:ascii="Montserrat" w:hAnsi="Montserrat"/>
        </w:rPr>
      </w:pPr>
      <w:r>
        <w:rPr>
          <w:b/>
        </w:rPr>
        <w:t>Semantic Markdown Stripping</w:t>
      </w:r>
      <w:r>
        <w:rPr/>
        <w:t>: Raw markdown text cannot be fed directly into an embedding model without introducing syntax noise (e.g., asterisks, hash symbols, brackets). Instead of using brittle Regular Expressions for this task, SemLink parses the text into an Abstract Syntax Tree (AST) using the markdown-it-py CommonMark parser. A custom traversal function then recursively walks through these tokens. It strips away structural tags (like paragraph_open or list_item_open) but explicitly extracts and preserves the internal text, inline code snippets (code_inline), and the contents of fenced code blocks (fence).</w:t>
      </w:r>
    </w:p>
    <w:p>
      <w:pPr>
        <w:pStyle w:val="BodyText"/>
        <w:rPr>
          <w:rFonts w:ascii="Montserrat" w:hAnsi="Montserrat"/>
        </w:rPr>
      </w:pPr>
      <w:r>
        <w:rPr>
          <w:b/>
        </w:rPr>
        <w:t>Aggressive Text Normalization</w:t>
      </w:r>
      <w:r>
        <w:rPr/>
        <w:t>: Once the markup is stripped, the plain text undergoes strict normalization to ensure consistent vector representations:</w:t>
      </w:r>
    </w:p>
    <w:p>
      <w:pPr>
        <w:pStyle w:val="BodyText"/>
        <w:numPr>
          <w:ilvl w:val="0"/>
          <w:numId w:val="5"/>
        </w:numPr>
        <w:tabs>
          <w:tab w:val="clear" w:pos="720"/>
          <w:tab w:val="left" w:pos="0" w:leader="none"/>
        </w:tabs>
        <w:ind w:hanging="283" w:start="709"/>
        <w:rPr>
          <w:rFonts w:ascii="Montserrat" w:hAnsi="Montserrat"/>
        </w:rPr>
      </w:pPr>
      <w:r>
        <w:rPr/>
        <w:t>The text is subjected to Unicode normalization (NFKC) to decompose and recompose characters into a standardized format.</w:t>
      </w:r>
    </w:p>
    <w:p>
      <w:pPr>
        <w:pStyle w:val="BodyText"/>
        <w:numPr>
          <w:ilvl w:val="0"/>
          <w:numId w:val="5"/>
        </w:numPr>
        <w:tabs>
          <w:tab w:val="clear" w:pos="720"/>
          <w:tab w:val="left" w:pos="0" w:leader="none"/>
        </w:tabs>
        <w:ind w:hanging="283" w:start="709"/>
        <w:rPr>
          <w:rFonts w:ascii="Montserrat" w:hAnsi="Montserrat"/>
        </w:rPr>
      </w:pPr>
      <w:r>
        <w:rPr/>
        <w:t>All characters are converted to lowercase.</w:t>
      </w:r>
    </w:p>
    <w:p>
      <w:pPr>
        <w:pStyle w:val="BodyText"/>
        <w:numPr>
          <w:ilvl w:val="0"/>
          <w:numId w:val="5"/>
        </w:numPr>
        <w:tabs>
          <w:tab w:val="clear" w:pos="720"/>
          <w:tab w:val="left" w:pos="0" w:leader="none"/>
        </w:tabs>
        <w:ind w:hanging="283" w:start="709"/>
        <w:rPr>
          <w:rFonts w:ascii="Montserrat" w:hAnsi="Montserrat"/>
        </w:rPr>
      </w:pPr>
      <w:r>
        <w:rPr/>
        <w:t>Erratic whitespace is sanitized: tabs and consecutive spaces are collapsed into a single space, trailing whitespaces are stripped from individual lines, and excessive vertical spacing (three or more consecutive newlines) is collapsed into a standard double-newline paragraph break.</w:t>
      </w:r>
    </w:p>
    <w:p>
      <w:pPr>
        <w:pStyle w:val="BodyText"/>
        <w:rPr/>
      </w:pPr>
      <w:r>
        <w:rPr>
          <w:b/>
        </w:rPr>
        <w:t>Targeted Metadata Extraction</w:t>
      </w:r>
      <w:r>
        <w:rPr/>
        <w:t>: Concurrent with the content cleaning process, the system utilizes compiled Regular Expressions to extract highly valuable structural metadata directly from the raw note. This includes extracting all internal headings (^#{1,6}), isolating wiki-style links (</w:t>
      </w:r>
      <w:hyperlink r:id="rId3">
        <w:r>
          <w:rPr>
            <w:rStyle w:val="Hyperlink"/>
          </w:rPr>
          <w:t>link</w:t>
        </w:r>
      </w:hyperlink>
      <w:r>
        <w:rPr/>
        <w:t>), and calculating the exact word count of the cleaned text. If a note lacks a primary heading, the system falls back to using the file's stem name as the document title.</w:t>
      </w:r>
    </w:p>
    <w:p>
      <w:pPr>
        <w:pStyle w:val="BodyText"/>
        <w:rPr>
          <w:rFonts w:ascii="Montserrat" w:hAnsi="Montserrat"/>
        </w:rPr>
      </w:pPr>
      <w:r>
        <w:rPr>
          <w:b/>
        </w:rPr>
        <w:t>Data Structuring and Persistence</w:t>
      </w:r>
      <w:r>
        <w:rPr/>
        <w:t>: Finally, the fully normalized content and its corresponding metadata are packaged into a Python Note dataclass. To support incremental vault updates (ensuring files are not re-processed unnecessarily), each note is assigned a highly stable, deterministic MD5 hash ID derived from its absolute file path. These objects are then cached in memory within a NoteStore and serialized to disk using orjson for high-performance JSON persistence.</w:t>
      </w:r>
    </w:p>
    <w:p>
      <w:pPr>
        <w:pStyle w:val="Heading3"/>
        <w:rPr>
          <w:rFonts w:ascii="Montserrat" w:hAnsi="Montserrat"/>
        </w:rPr>
      </w:pPr>
      <w:r>
        <w:rPr>
          <w:rFonts w:ascii="Montserrat" w:hAnsi="Montserrat"/>
        </w:rPr>
      </w:r>
    </w:p>
    <w:p>
      <w:pPr>
        <w:pStyle w:val="Heading3"/>
        <w:rPr>
          <w:rFonts w:ascii="Montserrat" w:hAnsi="Montserrat"/>
        </w:rPr>
      </w:pPr>
      <w:r>
        <w:rPr>
          <w:rFonts w:ascii="Montserrat" w:hAnsi="Montserrat"/>
        </w:rPr>
        <w:t>Model Architecture</w:t>
      </w:r>
    </w:p>
    <w:p>
      <w:pPr>
        <w:pStyle w:val="Heading4"/>
        <w:rPr>
          <w:rFonts w:ascii="Montserrat" w:hAnsi="Montserrat"/>
        </w:rPr>
      </w:pPr>
      <w:r>
        <w:rPr>
          <w:rFonts w:ascii="Montserrat" w:hAnsi="Montserrat"/>
        </w:rPr>
        <w:t>Embedding Models</w:t>
      </w:r>
    </w:p>
    <w:tbl>
      <w:tblPr>
        <w:tblW w:w="5000" w:type="pct"/>
        <w:jc w:val="start"/>
        <w:tblInd w:w="-5" w:type="dxa"/>
        <w:tblLayout w:type="fixed"/>
        <w:tblCellMar>
          <w:top w:w="55" w:type="dxa"/>
          <w:start w:w="55" w:type="dxa"/>
          <w:bottom w:w="55" w:type="dxa"/>
          <w:end w:w="55" w:type="dxa"/>
        </w:tblCellMar>
      </w:tblPr>
      <w:tblGrid>
        <w:gridCol w:w="2256"/>
        <w:gridCol w:w="2256"/>
        <w:gridCol w:w="2257"/>
        <w:gridCol w:w="2257"/>
      </w:tblGrid>
      <w:tr>
        <w:trPr>
          <w:tblHeader w:val="true"/>
        </w:trPr>
        <w:tc>
          <w:tcPr>
            <w:tcW w:w="2256"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Model</w:t>
            </w:r>
          </w:p>
        </w:tc>
        <w:tc>
          <w:tcPr>
            <w:tcW w:w="2256"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Dimensions</w:t>
            </w:r>
          </w:p>
        </w:tc>
        <w:tc>
          <w:tcPr>
            <w:tcW w:w="2257"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Type</w:t>
            </w:r>
          </w:p>
        </w:tc>
        <w:tc>
          <w:tcPr>
            <w:tcW w:w="2257" w:type="dxa"/>
            <w:tcBorders>
              <w:top w:val="single" w:sz="4" w:space="0" w:color="000000"/>
              <w:start w:val="single" w:sz="4" w:space="0" w:color="000000"/>
              <w:bottom w:val="single" w:sz="4" w:space="0" w:color="000000"/>
              <w:end w:val="single" w:sz="4" w:space="0" w:color="000000"/>
            </w:tcBorders>
          </w:tcPr>
          <w:p>
            <w:pPr>
              <w:pStyle w:val="TableHeading"/>
              <w:spacing w:before="0" w:after="160"/>
              <w:jc w:val="start"/>
              <w:rPr>
                <w:rFonts w:ascii="Montserrat" w:hAnsi="Montserrat"/>
              </w:rPr>
            </w:pPr>
            <w:r>
              <w:rPr>
                <w:rFonts w:ascii="Montserrat" w:hAnsi="Montserrat"/>
              </w:rPr>
              <w:t>Use Case</w:t>
            </w:r>
          </w:p>
        </w:tc>
      </w:tr>
      <w:tr>
        <w:trPr/>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TF-IDF</w:t>
            </w:r>
          </w:p>
        </w:tc>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Variable</w:t>
            </w:r>
          </w:p>
        </w:tc>
        <w:tc>
          <w:tcPr>
            <w:tcW w:w="2257"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Traditional</w:t>
            </w:r>
          </w:p>
        </w:tc>
        <w:tc>
          <w:tcPr>
            <w:tcW w:w="2257"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Baseline, CPU-only</w:t>
            </w:r>
          </w:p>
        </w:tc>
      </w:tr>
      <w:tr>
        <w:trPr/>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all-MiniLM-L6-v2</w:t>
            </w:r>
          </w:p>
        </w:tc>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384</w:t>
            </w:r>
          </w:p>
        </w:tc>
        <w:tc>
          <w:tcPr>
            <w:tcW w:w="2257"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Sentence-BERT</w:t>
            </w:r>
          </w:p>
        </w:tc>
        <w:tc>
          <w:tcPr>
            <w:tcW w:w="2257"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Local neural</w:t>
            </w:r>
          </w:p>
        </w:tc>
      </w:tr>
      <w:tr>
        <w:trPr/>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all-mpnet-base-v2</w:t>
            </w:r>
          </w:p>
        </w:tc>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768</w:t>
            </w:r>
          </w:p>
        </w:tc>
        <w:tc>
          <w:tcPr>
            <w:tcW w:w="2257"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Sentence-BERT</w:t>
            </w:r>
          </w:p>
        </w:tc>
        <w:tc>
          <w:tcPr>
            <w:tcW w:w="2257"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Higher quality</w:t>
            </w:r>
          </w:p>
        </w:tc>
      </w:tr>
      <w:tr>
        <w:trPr/>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text-embedding-3-small</w:t>
            </w:r>
          </w:p>
        </w:tc>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1536</w:t>
            </w:r>
          </w:p>
        </w:tc>
        <w:tc>
          <w:tcPr>
            <w:tcW w:w="2257"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OpenAI</w:t>
            </w:r>
          </w:p>
        </w:tc>
        <w:tc>
          <w:tcPr>
            <w:tcW w:w="2257"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Cloud high-fidelity</w:t>
            </w:r>
          </w:p>
        </w:tc>
      </w:tr>
      <w:tr>
        <w:trPr/>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text-embedding-3-large</w:t>
            </w:r>
          </w:p>
        </w:tc>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3072</w:t>
            </w:r>
          </w:p>
        </w:tc>
        <w:tc>
          <w:tcPr>
            <w:tcW w:w="2257"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OpenAI</w:t>
            </w:r>
          </w:p>
        </w:tc>
        <w:tc>
          <w:tcPr>
            <w:tcW w:w="2257"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Cloud maximum quality</w:t>
            </w:r>
          </w:p>
        </w:tc>
      </w:tr>
    </w:tbl>
    <w:p>
      <w:pPr>
        <w:pStyle w:val="BodyText"/>
        <w:rPr>
          <w:rFonts w:ascii="Montserrat" w:hAnsi="Montserrat"/>
        </w:rPr>
      </w:pPr>
      <w:r>
        <w:rPr/>
      </w:r>
    </w:p>
    <w:p>
      <w:pPr>
        <w:pStyle w:val="Heading4"/>
        <w:rPr>
          <w:rFonts w:ascii="Montserrat" w:hAnsi="Montserrat"/>
        </w:rPr>
      </w:pPr>
      <w:r>
        <w:rPr>
          <w:rFonts w:ascii="Montserrat" w:hAnsi="Montserrat"/>
        </w:rPr>
        <w:t>Topic Generation</w:t>
      </w:r>
    </w:p>
    <w:tbl>
      <w:tblPr>
        <w:tblW w:w="5000" w:type="pct"/>
        <w:jc w:val="start"/>
        <w:tblInd w:w="-5" w:type="dxa"/>
        <w:tblLayout w:type="fixed"/>
        <w:tblCellMar>
          <w:top w:w="55" w:type="dxa"/>
          <w:start w:w="55" w:type="dxa"/>
          <w:bottom w:w="55" w:type="dxa"/>
          <w:end w:w="55" w:type="dxa"/>
        </w:tblCellMar>
      </w:tblPr>
      <w:tblGrid>
        <w:gridCol w:w="3008"/>
        <w:gridCol w:w="3009"/>
        <w:gridCol w:w="3009"/>
      </w:tblGrid>
      <w:tr>
        <w:trPr>
          <w:tblHeader w:val="true"/>
        </w:trPr>
        <w:tc>
          <w:tcPr>
            <w:tcW w:w="3008"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Model</w:t>
            </w:r>
          </w:p>
        </w:tc>
        <w:tc>
          <w:tcPr>
            <w:tcW w:w="3009"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Type</w:t>
            </w:r>
          </w:p>
        </w:tc>
        <w:tc>
          <w:tcPr>
            <w:tcW w:w="3009" w:type="dxa"/>
            <w:tcBorders>
              <w:top w:val="single" w:sz="4" w:space="0" w:color="000000"/>
              <w:start w:val="single" w:sz="4" w:space="0" w:color="000000"/>
              <w:bottom w:val="single" w:sz="4" w:space="0" w:color="000000"/>
              <w:end w:val="single" w:sz="4" w:space="0" w:color="000000"/>
            </w:tcBorders>
          </w:tcPr>
          <w:p>
            <w:pPr>
              <w:pStyle w:val="TableHeading"/>
              <w:spacing w:before="0" w:after="160"/>
              <w:jc w:val="start"/>
              <w:rPr>
                <w:rFonts w:ascii="Montserrat" w:hAnsi="Montserrat"/>
              </w:rPr>
            </w:pPr>
            <w:r>
              <w:rPr>
                <w:rFonts w:ascii="Montserrat" w:hAnsi="Montserrat"/>
              </w:rPr>
              <w:t>Use Case</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gpt-4o-mini</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OpenAI LLM</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Topic label generation</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Centeroid</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Page ranking and Centeroid identification</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Topic label generation for small knowledge bases with good naming conventions</w:t>
            </w:r>
          </w:p>
        </w:tc>
      </w:tr>
    </w:tbl>
    <w:p>
      <w:pPr>
        <w:pStyle w:val="BodyText"/>
        <w:rPr>
          <w:rFonts w:ascii="Montserrat" w:hAnsi="Montserrat"/>
        </w:rPr>
      </w:pPr>
      <w:r>
        <w:rPr/>
      </w:r>
    </w:p>
    <w:p>
      <w:pPr>
        <w:pStyle w:val="Heading4"/>
        <w:rPr>
          <w:rFonts w:ascii="Montserrat" w:hAnsi="Montserrat"/>
        </w:rPr>
      </w:pPr>
      <w:r>
        <w:rPr>
          <w:rFonts w:ascii="Montserrat" w:hAnsi="Montserrat"/>
        </w:rPr>
        <w:t>Link Inference Strategies</w:t>
      </w:r>
    </w:p>
    <w:tbl>
      <w:tblPr>
        <w:tblW w:w="5000" w:type="pct"/>
        <w:jc w:val="start"/>
        <w:tblInd w:w="-5" w:type="dxa"/>
        <w:tblLayout w:type="fixed"/>
        <w:tblCellMar>
          <w:top w:w="55" w:type="dxa"/>
          <w:start w:w="55" w:type="dxa"/>
          <w:bottom w:w="55" w:type="dxa"/>
          <w:end w:w="55" w:type="dxa"/>
        </w:tblCellMar>
      </w:tblPr>
      <w:tblGrid>
        <w:gridCol w:w="3008"/>
        <w:gridCol w:w="3009"/>
        <w:gridCol w:w="3009"/>
      </w:tblGrid>
      <w:tr>
        <w:trPr>
          <w:tblHeader w:val="true"/>
        </w:trPr>
        <w:tc>
          <w:tcPr>
            <w:tcW w:w="3008"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Strategy</w:t>
            </w:r>
          </w:p>
        </w:tc>
        <w:tc>
          <w:tcPr>
            <w:tcW w:w="3009"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Description</w:t>
            </w:r>
          </w:p>
        </w:tc>
        <w:tc>
          <w:tcPr>
            <w:tcW w:w="3009" w:type="dxa"/>
            <w:tcBorders>
              <w:top w:val="single" w:sz="4" w:space="0" w:color="000000"/>
              <w:start w:val="single" w:sz="4" w:space="0" w:color="000000"/>
              <w:bottom w:val="single" w:sz="4" w:space="0" w:color="000000"/>
              <w:end w:val="single" w:sz="4" w:space="0" w:color="000000"/>
            </w:tcBorders>
          </w:tcPr>
          <w:p>
            <w:pPr>
              <w:pStyle w:val="TableHeading"/>
              <w:spacing w:before="0" w:after="160"/>
              <w:jc w:val="start"/>
              <w:rPr>
                <w:rFonts w:ascii="Montserrat" w:hAnsi="Montserrat"/>
              </w:rPr>
            </w:pPr>
            <w:r>
              <w:rPr>
                <w:rFonts w:ascii="Montserrat" w:hAnsi="Montserrat"/>
              </w:rPr>
              <w:t>Graph Density</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Threshold</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Connect if similarity ≥ threshold</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Sparse</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KNN</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Connect to k nearest neighbors</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Moderate</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Mutual KNN</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Connect only if mutually nearest</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Sparse</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Hybrid</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KNN + threshold (recommended)</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Balanced</w:t>
            </w:r>
          </w:p>
        </w:tc>
      </w:tr>
    </w:tbl>
    <w:p>
      <w:pPr>
        <w:pStyle w:val="BodyText"/>
        <w:rPr>
          <w:rFonts w:ascii="Montserrat" w:hAnsi="Montserrat"/>
        </w:rPr>
      </w:pPr>
      <w:r>
        <w:rPr/>
      </w:r>
    </w:p>
    <w:p>
      <w:pPr>
        <w:pStyle w:val="Heading3"/>
        <w:rPr>
          <w:rFonts w:ascii="Montserrat" w:hAnsi="Montserrat"/>
        </w:rPr>
      </w:pPr>
      <w:r>
        <w:rPr>
          <w:rFonts w:ascii="Montserrat" w:hAnsi="Montserrat"/>
        </w:rPr>
        <w:t>5.3 Tools and Technologies Used</w:t>
      </w:r>
    </w:p>
    <w:tbl>
      <w:tblPr>
        <w:tblW w:w="5000" w:type="pct"/>
        <w:jc w:val="start"/>
        <w:tblInd w:w="-5" w:type="dxa"/>
        <w:tblLayout w:type="fixed"/>
        <w:tblCellMar>
          <w:top w:w="55" w:type="dxa"/>
          <w:start w:w="55" w:type="dxa"/>
          <w:bottom w:w="55" w:type="dxa"/>
          <w:end w:w="55" w:type="dxa"/>
        </w:tblCellMar>
      </w:tblPr>
      <w:tblGrid>
        <w:gridCol w:w="4512"/>
        <w:gridCol w:w="4514"/>
      </w:tblGrid>
      <w:tr>
        <w:trPr>
          <w:tblHeader w:val="true"/>
        </w:trPr>
        <w:tc>
          <w:tcPr>
            <w:tcW w:w="4512"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Component</w:t>
            </w:r>
          </w:p>
        </w:tc>
        <w:tc>
          <w:tcPr>
            <w:tcW w:w="4514" w:type="dxa"/>
            <w:tcBorders>
              <w:top w:val="single" w:sz="4" w:space="0" w:color="000000"/>
              <w:start w:val="single" w:sz="4" w:space="0" w:color="000000"/>
              <w:bottom w:val="single" w:sz="4" w:space="0" w:color="000000"/>
              <w:end w:val="single" w:sz="4" w:space="0" w:color="000000"/>
            </w:tcBorders>
          </w:tcPr>
          <w:p>
            <w:pPr>
              <w:pStyle w:val="TableHeading"/>
              <w:spacing w:before="0" w:after="160"/>
              <w:jc w:val="start"/>
              <w:rPr>
                <w:rFonts w:ascii="Montserrat" w:hAnsi="Montserrat"/>
              </w:rPr>
            </w:pPr>
            <w:r>
              <w:rPr>
                <w:rFonts w:ascii="Montserrat" w:hAnsi="Montserrat"/>
              </w:rPr>
              <w:t>Technology</w:t>
            </w:r>
          </w:p>
        </w:tc>
      </w:tr>
      <w:tr>
        <w:trPr/>
        <w:tc>
          <w:tcPr>
            <w:tcW w:w="4512"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CLI Framework</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Typer</w:t>
            </w:r>
          </w:p>
        </w:tc>
      </w:tr>
      <w:tr>
        <w:trPr/>
        <w:tc>
          <w:tcPr>
            <w:tcW w:w="4512"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Display</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Rich</w:t>
            </w:r>
          </w:p>
        </w:tc>
      </w:tr>
      <w:tr>
        <w:trPr/>
        <w:tc>
          <w:tcPr>
            <w:tcW w:w="4512"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Preprocessing</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markdown-it-py, pypdf, python-docx</w:t>
            </w:r>
          </w:p>
        </w:tc>
      </w:tr>
      <w:tr>
        <w:trPr/>
        <w:tc>
          <w:tcPr>
            <w:tcW w:w="4512"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ML/Scikit-learn</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TF-IDF, sklearn</w:t>
            </w:r>
          </w:p>
        </w:tc>
      </w:tr>
      <w:tr>
        <w:trPr/>
        <w:tc>
          <w:tcPr>
            <w:tcW w:w="4512"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Neural</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sentence-transformers, openai</w:t>
            </w:r>
          </w:p>
        </w:tc>
      </w:tr>
      <w:tr>
        <w:trPr/>
        <w:tc>
          <w:tcPr>
            <w:tcW w:w="4512"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Graph</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NetworkX</w:t>
            </w:r>
          </w:p>
        </w:tc>
      </w:tr>
      <w:tr>
        <w:trPr/>
        <w:tc>
          <w:tcPr>
            <w:tcW w:w="4512"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Community Detection</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python-louvain</w:t>
            </w:r>
          </w:p>
        </w:tc>
      </w:tr>
      <w:tr>
        <w:trPr/>
        <w:tc>
          <w:tcPr>
            <w:tcW w:w="4512"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Storage</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SQLite (orjson)</w:t>
            </w:r>
          </w:p>
        </w:tc>
      </w:tr>
      <w:tr>
        <w:trPr/>
        <w:tc>
          <w:tcPr>
            <w:tcW w:w="4512"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API</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FastAPI</w:t>
            </w:r>
          </w:p>
        </w:tc>
      </w:tr>
      <w:tr>
        <w:trPr/>
        <w:tc>
          <w:tcPr>
            <w:tcW w:w="4512"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Visualization</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D3.js (React frontend)</w:t>
            </w:r>
          </w:p>
        </w:tc>
      </w:tr>
    </w:tbl>
    <w:p>
      <w:pPr>
        <w:pStyle w:val="BodyText"/>
        <w:rPr>
          <w:rFonts w:ascii="Montserrat" w:hAnsi="Montserrat"/>
        </w:rPr>
      </w:pPr>
      <w:r>
        <w:rPr/>
      </w:r>
    </w:p>
    <w:p>
      <w:pPr>
        <w:pStyle w:val="Heading3"/>
        <w:rPr>
          <w:rFonts w:ascii="Montserrat" w:hAnsi="Montserrat"/>
        </w:rPr>
      </w:pPr>
      <w:r>
        <w:rPr>
          <w:rFonts w:ascii="Montserrat" w:hAnsi="Montserrat"/>
        </w:rPr>
      </w:r>
    </w:p>
    <w:p>
      <w:pPr>
        <w:pStyle w:val="Heading3"/>
        <w:rPr>
          <w:rFonts w:ascii="Montserrat" w:hAnsi="Montserrat"/>
        </w:rPr>
      </w:pPr>
      <w:r>
        <w:rPr>
          <w:rFonts w:ascii="Montserrat" w:hAnsi="Montserrat"/>
        </w:rPr>
        <w:t>Training Procedure</w:t>
      </w:r>
    </w:p>
    <w:p>
      <w:pPr>
        <w:pStyle w:val="BodyText"/>
        <w:rPr>
          <w:rFonts w:ascii="Montserrat" w:hAnsi="Montserrat"/>
        </w:rPr>
      </w:pPr>
      <w:r>
        <w:rPr/>
        <w:t>This project does not involve model training in the traditional sense. Instead, it utilizes:</w:t>
      </w:r>
    </w:p>
    <w:p>
      <w:pPr>
        <w:pStyle w:val="BodyText"/>
        <w:numPr>
          <w:ilvl w:val="0"/>
          <w:numId w:val="6"/>
        </w:numPr>
        <w:tabs>
          <w:tab w:val="clear" w:pos="720"/>
          <w:tab w:val="left" w:pos="0" w:leader="none"/>
        </w:tabs>
        <w:ind w:hanging="283" w:start="709"/>
        <w:rPr>
          <w:rFonts w:ascii="Montserrat" w:hAnsi="Montserrat"/>
        </w:rPr>
      </w:pPr>
      <w:r>
        <w:rPr>
          <w:b/>
        </w:rPr>
        <w:t>Pre-trained Models</w:t>
      </w:r>
      <w:r>
        <w:rPr/>
        <w:t>: Uses pre-trained transformer models (SBERT, OpenAI embeddings)</w:t>
      </w:r>
    </w:p>
    <w:p>
      <w:pPr>
        <w:pStyle w:val="BodyText"/>
        <w:numPr>
          <w:ilvl w:val="0"/>
          <w:numId w:val="6"/>
        </w:numPr>
        <w:tabs>
          <w:tab w:val="clear" w:pos="720"/>
          <w:tab w:val="left" w:pos="0" w:leader="none"/>
        </w:tabs>
        <w:ind w:hanging="283" w:start="709"/>
        <w:rPr>
          <w:rFonts w:ascii="Montserrat" w:hAnsi="Montserrat"/>
        </w:rPr>
      </w:pPr>
      <w:r>
        <w:rPr>
          <w:b/>
        </w:rPr>
        <w:t>Fine-tuned via Similarity</w:t>
      </w:r>
      <w:r>
        <w:rPr/>
        <w:t>: Link inference based on cosine similarity</w:t>
      </w:r>
    </w:p>
    <w:p>
      <w:pPr>
        <w:pStyle w:val="BodyText"/>
        <w:numPr>
          <w:ilvl w:val="0"/>
          <w:numId w:val="6"/>
        </w:numPr>
        <w:tabs>
          <w:tab w:val="clear" w:pos="720"/>
          <w:tab w:val="left" w:pos="0" w:leader="none"/>
        </w:tabs>
        <w:ind w:hanging="283" w:start="709"/>
        <w:rPr>
          <w:rFonts w:ascii="Montserrat" w:hAnsi="Montserrat"/>
        </w:rPr>
      </w:pPr>
      <w:r>
        <w:rPr>
          <w:b/>
        </w:rPr>
        <w:t>LLM for Labels</w:t>
      </w:r>
      <w:r>
        <w:rPr/>
        <w:t>: Uses GPT-4o-mini for topic label generation</w:t>
      </w:r>
    </w:p>
    <w:p>
      <w:pPr>
        <w:pStyle w:val="BodyText"/>
        <w:rPr>
          <w:rFonts w:ascii="Montserrat" w:hAnsi="Montserrat"/>
        </w:rPr>
      </w:pPr>
      <w:r>
        <w:rPr/>
        <w:t>The system processes notes in batches:</w:t>
      </w:r>
    </w:p>
    <w:p>
      <w:pPr>
        <w:pStyle w:val="BodyText"/>
        <w:numPr>
          <w:ilvl w:val="0"/>
          <w:numId w:val="7"/>
        </w:numPr>
        <w:tabs>
          <w:tab w:val="clear" w:pos="720"/>
          <w:tab w:val="left" w:pos="0" w:leader="none"/>
        </w:tabs>
        <w:ind w:hanging="283" w:start="709"/>
        <w:rPr>
          <w:rFonts w:ascii="Montserrat" w:hAnsi="Montserrat"/>
        </w:rPr>
      </w:pPr>
      <w:r>
        <w:rPr/>
        <w:t>OpenAI embeddings: 100 notes per API call</w:t>
      </w:r>
    </w:p>
    <w:p>
      <w:pPr>
        <w:pStyle w:val="BodyText"/>
        <w:numPr>
          <w:ilvl w:val="0"/>
          <w:numId w:val="7"/>
        </w:numPr>
        <w:tabs>
          <w:tab w:val="clear" w:pos="720"/>
          <w:tab w:val="left" w:pos="0" w:leader="none"/>
        </w:tabs>
        <w:ind w:hanging="283" w:start="709"/>
        <w:rPr>
          <w:rFonts w:ascii="Montserrat" w:hAnsi="Montserrat"/>
        </w:rPr>
      </w:pPr>
      <w:r>
        <w:rPr/>
        <w:t>Similarity matrix: Pairwise computation using sklearn</w:t>
      </w:r>
    </w:p>
    <w:p>
      <w:pPr>
        <w:pStyle w:val="BodyText"/>
        <w:numPr>
          <w:ilvl w:val="0"/>
          <w:numId w:val="7"/>
        </w:numPr>
        <w:tabs>
          <w:tab w:val="clear" w:pos="720"/>
          <w:tab w:val="left" w:pos="0" w:leader="none"/>
        </w:tabs>
        <w:ind w:hanging="283" w:start="709"/>
        <w:rPr>
          <w:rFonts w:ascii="Montserrat" w:hAnsi="Montserrat"/>
        </w:rPr>
      </w:pPr>
      <w:r>
        <w:rPr/>
        <w:t>Community detection: Louvain algorithm optimization</w:t>
      </w:r>
    </w:p>
    <w:p>
      <w:pPr>
        <w:pStyle w:val="Heading3"/>
        <w:rPr>
          <w:rFonts w:ascii="Montserrat" w:hAnsi="Montserrat"/>
        </w:rPr>
      </w:pPr>
      <w:r>
        <w:rPr>
          <w:rFonts w:ascii="Montserrat" w:hAnsi="Montserrat"/>
        </w:rPr>
        <w:t>Hyperparameter Settings</w:t>
      </w:r>
    </w:p>
    <w:tbl>
      <w:tblPr>
        <w:tblW w:w="5000" w:type="pct"/>
        <w:jc w:val="start"/>
        <w:tblInd w:w="-5" w:type="dxa"/>
        <w:tblLayout w:type="fixed"/>
        <w:tblCellMar>
          <w:top w:w="55" w:type="dxa"/>
          <w:start w:w="55" w:type="dxa"/>
          <w:bottom w:w="55" w:type="dxa"/>
          <w:end w:w="55" w:type="dxa"/>
        </w:tblCellMar>
      </w:tblPr>
      <w:tblGrid>
        <w:gridCol w:w="3008"/>
        <w:gridCol w:w="3009"/>
        <w:gridCol w:w="3009"/>
      </w:tblGrid>
      <w:tr>
        <w:trPr>
          <w:tblHeader w:val="true"/>
        </w:trPr>
        <w:tc>
          <w:tcPr>
            <w:tcW w:w="3008"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Parameter</w:t>
            </w:r>
          </w:p>
        </w:tc>
        <w:tc>
          <w:tcPr>
            <w:tcW w:w="3009"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Default</w:t>
            </w:r>
          </w:p>
        </w:tc>
        <w:tc>
          <w:tcPr>
            <w:tcW w:w="3009" w:type="dxa"/>
            <w:tcBorders>
              <w:top w:val="single" w:sz="4" w:space="0" w:color="000000"/>
              <w:start w:val="single" w:sz="4" w:space="0" w:color="000000"/>
              <w:bottom w:val="single" w:sz="4" w:space="0" w:color="000000"/>
              <w:end w:val="single" w:sz="4" w:space="0" w:color="000000"/>
            </w:tcBorders>
          </w:tcPr>
          <w:p>
            <w:pPr>
              <w:pStyle w:val="TableHeading"/>
              <w:spacing w:before="0" w:after="160"/>
              <w:jc w:val="start"/>
              <w:rPr>
                <w:rFonts w:ascii="Montserrat" w:hAnsi="Montserrat"/>
              </w:rPr>
            </w:pPr>
            <w:r>
              <w:rPr>
                <w:rFonts w:ascii="Montserrat" w:hAnsi="Montserrat"/>
              </w:rPr>
              <w:t>Description</w:t>
            </w:r>
          </w:p>
        </w:tc>
      </w:tr>
      <w:tr>
        <w:trPr/>
        <w:tc>
          <w:tcPr>
            <w:tcW w:w="3008" w:type="dxa"/>
            <w:tcBorders>
              <w:start w:val="single" w:sz="4" w:space="0" w:color="000000"/>
              <w:bottom w:val="single" w:sz="4" w:space="0" w:color="000000"/>
            </w:tcBorders>
          </w:tcPr>
          <w:p>
            <w:pPr>
              <w:pStyle w:val="PreformattedText"/>
              <w:spacing w:before="0" w:after="283"/>
              <w:rPr/>
            </w:pPr>
            <w:r>
              <w:rPr/>
              <w:t>--method</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tfidf</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Embedding method (tfidf/sbert/openai)</w:t>
            </w:r>
          </w:p>
        </w:tc>
      </w:tr>
      <w:tr>
        <w:trPr/>
        <w:tc>
          <w:tcPr>
            <w:tcW w:w="3008" w:type="dxa"/>
            <w:tcBorders>
              <w:start w:val="single" w:sz="4" w:space="0" w:color="000000"/>
              <w:bottom w:val="single" w:sz="4" w:space="0" w:color="000000"/>
            </w:tcBorders>
          </w:tcPr>
          <w:p>
            <w:pPr>
              <w:pStyle w:val="PreformattedText"/>
              <w:spacing w:before="0" w:after="283"/>
              <w:rPr/>
            </w:pPr>
            <w:r>
              <w:rPr/>
              <w:t>--min-weight</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0.1</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Minimum similarity threshold</w:t>
            </w:r>
          </w:p>
        </w:tc>
      </w:tr>
      <w:tr>
        <w:trPr/>
        <w:tc>
          <w:tcPr>
            <w:tcW w:w="3008" w:type="dxa"/>
            <w:tcBorders>
              <w:start w:val="single" w:sz="4" w:space="0" w:color="000000"/>
              <w:bottom w:val="single" w:sz="4" w:space="0" w:color="000000"/>
            </w:tcBorders>
          </w:tcPr>
          <w:p>
            <w:pPr>
              <w:pStyle w:val="PreformattedText"/>
              <w:spacing w:before="0" w:after="283"/>
              <w:rPr/>
            </w:pPr>
            <w:r>
              <w:rPr/>
              <w:t>--k</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7</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K-nearest neighbors</w:t>
            </w:r>
          </w:p>
        </w:tc>
      </w:tr>
      <w:tr>
        <w:trPr/>
        <w:tc>
          <w:tcPr>
            <w:tcW w:w="3008" w:type="dxa"/>
            <w:tcBorders>
              <w:start w:val="single" w:sz="4" w:space="0" w:color="000000"/>
              <w:bottom w:val="single" w:sz="4" w:space="0" w:color="000000"/>
            </w:tcBorders>
          </w:tcPr>
          <w:p>
            <w:pPr>
              <w:pStyle w:val="PreformattedText"/>
              <w:spacing w:before="0" w:after="283"/>
              <w:rPr/>
            </w:pPr>
            <w:r>
              <w:rPr/>
              <w:t>--resolution</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1.0</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Louvain community resolution</w:t>
            </w:r>
          </w:p>
        </w:tc>
      </w:tr>
      <w:tr>
        <w:trPr/>
        <w:tc>
          <w:tcPr>
            <w:tcW w:w="3008" w:type="dxa"/>
            <w:tcBorders>
              <w:start w:val="single" w:sz="4" w:space="0" w:color="000000"/>
              <w:bottom w:val="single" w:sz="4" w:space="0" w:color="000000"/>
            </w:tcBorders>
          </w:tcPr>
          <w:p>
            <w:pPr>
              <w:pStyle w:val="PreformattedText"/>
              <w:spacing w:before="0" w:after="283"/>
              <w:rPr/>
            </w:pPr>
            <w:r>
              <w:rPr/>
              <w:t>--topic-method</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llm</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Topic generation (llm/keywords)</w:t>
            </w:r>
          </w:p>
        </w:tc>
      </w:tr>
      <w:tr>
        <w:trPr/>
        <w:tc>
          <w:tcPr>
            <w:tcW w:w="3008" w:type="dxa"/>
            <w:tcBorders>
              <w:start w:val="single" w:sz="4" w:space="0" w:color="000000"/>
              <w:bottom w:val="single" w:sz="4" w:space="0" w:color="000000"/>
            </w:tcBorders>
          </w:tcPr>
          <w:p>
            <w:pPr>
              <w:pStyle w:val="PreformattedText"/>
              <w:spacing w:before="0" w:after="283"/>
              <w:rPr/>
            </w:pPr>
            <w:r>
              <w:rPr/>
              <w:t>--topic-model</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gpt-4o-mini</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LLM model for topics</w:t>
            </w:r>
          </w:p>
        </w:tc>
      </w:tr>
    </w:tbl>
    <w:p>
      <w:pPr>
        <w:pStyle w:val="BodyText"/>
        <w:rPr>
          <w:rFonts w:ascii="Montserrat" w:hAnsi="Montserrat"/>
        </w:rPr>
      </w:pPr>
      <w:r>
        <w:rPr/>
      </w:r>
    </w:p>
    <w:p>
      <w:pPr>
        <w:pStyle w:val="Heading3"/>
        <w:rPr>
          <w:rFonts w:ascii="Montserrat" w:hAnsi="Montserrat"/>
        </w:rPr>
      </w:pPr>
      <w:r>
        <w:rPr>
          <w:rFonts w:ascii="Montserrat" w:hAnsi="Montserrat"/>
        </w:rPr>
        <w:t>Evaluation Metrics</w:t>
      </w:r>
    </w:p>
    <w:tbl>
      <w:tblPr>
        <w:tblW w:w="5000" w:type="pct"/>
        <w:jc w:val="start"/>
        <w:tblInd w:w="-5" w:type="dxa"/>
        <w:tblLayout w:type="fixed"/>
        <w:tblCellMar>
          <w:top w:w="55" w:type="dxa"/>
          <w:start w:w="55" w:type="dxa"/>
          <w:bottom w:w="55" w:type="dxa"/>
          <w:end w:w="55" w:type="dxa"/>
        </w:tblCellMar>
      </w:tblPr>
      <w:tblGrid>
        <w:gridCol w:w="4512"/>
        <w:gridCol w:w="4514"/>
      </w:tblGrid>
      <w:tr>
        <w:trPr>
          <w:tblHeader w:val="true"/>
        </w:trPr>
        <w:tc>
          <w:tcPr>
            <w:tcW w:w="4512"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Metric</w:t>
            </w:r>
          </w:p>
        </w:tc>
        <w:tc>
          <w:tcPr>
            <w:tcW w:w="4514" w:type="dxa"/>
            <w:tcBorders>
              <w:top w:val="single" w:sz="4" w:space="0" w:color="000000"/>
              <w:start w:val="single" w:sz="4" w:space="0" w:color="000000"/>
              <w:bottom w:val="single" w:sz="4" w:space="0" w:color="000000"/>
              <w:end w:val="single" w:sz="4" w:space="0" w:color="000000"/>
            </w:tcBorders>
          </w:tcPr>
          <w:p>
            <w:pPr>
              <w:pStyle w:val="TableHeading"/>
              <w:spacing w:before="0" w:after="160"/>
              <w:jc w:val="start"/>
              <w:rPr>
                <w:rFonts w:ascii="Montserrat" w:hAnsi="Montserrat"/>
              </w:rPr>
            </w:pPr>
            <w:r>
              <w:rPr>
                <w:rFonts w:ascii="Montserrat" w:hAnsi="Montserrat"/>
              </w:rPr>
              <w:t>Description</w:t>
            </w:r>
          </w:p>
        </w:tc>
      </w:tr>
      <w:tr>
        <w:trPr/>
        <w:tc>
          <w:tcPr>
            <w:tcW w:w="4512" w:type="dxa"/>
            <w:tcBorders>
              <w:start w:val="single" w:sz="4" w:space="0" w:color="000000"/>
              <w:bottom w:val="single" w:sz="4" w:space="0" w:color="000000"/>
            </w:tcBorders>
          </w:tcPr>
          <w:p>
            <w:pPr>
              <w:pStyle w:val="TableContents"/>
              <w:spacing w:before="0" w:after="160"/>
              <w:rPr>
                <w:rFonts w:ascii="Montserrat" w:hAnsi="Montserrat"/>
              </w:rPr>
            </w:pPr>
            <w:r>
              <w:rPr>
                <w:rFonts w:ascii="Montserrat" w:hAnsi="Montserrat"/>
                <w:b/>
              </w:rPr>
              <w:t>Precision@K</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Fraction of true positives in top-K predictions</w:t>
            </w:r>
          </w:p>
        </w:tc>
      </w:tr>
      <w:tr>
        <w:trPr/>
        <w:tc>
          <w:tcPr>
            <w:tcW w:w="4512" w:type="dxa"/>
            <w:tcBorders>
              <w:start w:val="single" w:sz="4" w:space="0" w:color="000000"/>
              <w:bottom w:val="single" w:sz="4" w:space="0" w:color="000000"/>
            </w:tcBorders>
          </w:tcPr>
          <w:p>
            <w:pPr>
              <w:pStyle w:val="TableContents"/>
              <w:spacing w:before="0" w:after="160"/>
              <w:rPr>
                <w:rFonts w:ascii="Montserrat" w:hAnsi="Montserrat"/>
              </w:rPr>
            </w:pPr>
            <w:r>
              <w:rPr>
                <w:rFonts w:ascii="Montserrat" w:hAnsi="Montserrat"/>
                <w:b/>
              </w:rPr>
              <w:t>Recall@K</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Coverage of actual relationships in top-K</w:t>
            </w:r>
          </w:p>
        </w:tc>
      </w:tr>
      <w:tr>
        <w:trPr/>
        <w:tc>
          <w:tcPr>
            <w:tcW w:w="4512" w:type="dxa"/>
            <w:tcBorders>
              <w:start w:val="single" w:sz="4" w:space="0" w:color="000000"/>
              <w:bottom w:val="single" w:sz="4" w:space="0" w:color="000000"/>
            </w:tcBorders>
          </w:tcPr>
          <w:p>
            <w:pPr>
              <w:pStyle w:val="TableContents"/>
              <w:spacing w:before="0" w:after="160"/>
              <w:rPr>
                <w:rFonts w:ascii="Montserrat" w:hAnsi="Montserrat"/>
              </w:rPr>
            </w:pPr>
            <w:r>
              <w:rPr>
                <w:rFonts w:ascii="Montserrat" w:hAnsi="Montserrat"/>
                <w:b/>
              </w:rPr>
              <w:t>Modularity</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Graph community quality score</w:t>
            </w:r>
          </w:p>
        </w:tc>
      </w:tr>
      <w:tr>
        <w:trPr/>
        <w:tc>
          <w:tcPr>
            <w:tcW w:w="4512" w:type="dxa"/>
            <w:tcBorders>
              <w:start w:val="single" w:sz="4" w:space="0" w:color="000000"/>
              <w:bottom w:val="single" w:sz="4" w:space="0" w:color="000000"/>
            </w:tcBorders>
          </w:tcPr>
          <w:p>
            <w:pPr>
              <w:pStyle w:val="TableContents"/>
              <w:spacing w:before="0" w:after="160"/>
              <w:rPr>
                <w:rFonts w:ascii="Montserrat" w:hAnsi="Montserrat"/>
              </w:rPr>
            </w:pPr>
            <w:r>
              <w:rPr>
                <w:rFonts w:ascii="Montserrat" w:hAnsi="Montserrat"/>
                <w:b/>
              </w:rPr>
              <w:t>Coverage</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Percentage of notes with connections</w:t>
            </w:r>
          </w:p>
        </w:tc>
      </w:tr>
      <w:tr>
        <w:trPr/>
        <w:tc>
          <w:tcPr>
            <w:tcW w:w="4512" w:type="dxa"/>
            <w:tcBorders>
              <w:start w:val="single" w:sz="4" w:space="0" w:color="000000"/>
              <w:bottom w:val="single" w:sz="4" w:space="0" w:color="000000"/>
            </w:tcBorders>
          </w:tcPr>
          <w:p>
            <w:pPr>
              <w:pStyle w:val="TableContents"/>
              <w:spacing w:before="0" w:after="160"/>
              <w:rPr>
                <w:rFonts w:ascii="Montserrat" w:hAnsi="Montserrat"/>
              </w:rPr>
            </w:pPr>
            <w:r>
              <w:rPr>
                <w:rFonts w:ascii="Montserrat" w:hAnsi="Montserrat"/>
                <w:b/>
              </w:rPr>
              <w:t>Topic Coherence</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Manual evaluation of topic clusters</w:t>
            </w:r>
          </w:p>
        </w:tc>
      </w:tr>
      <w:tr>
        <w:trPr/>
        <w:tc>
          <w:tcPr>
            <w:tcW w:w="4512" w:type="dxa"/>
            <w:tcBorders>
              <w:start w:val="single" w:sz="4" w:space="0" w:color="000000"/>
              <w:bottom w:val="single" w:sz="4" w:space="0" w:color="000000"/>
            </w:tcBorders>
          </w:tcPr>
          <w:p>
            <w:pPr>
              <w:pStyle w:val="TableContents"/>
              <w:spacing w:before="0" w:after="160"/>
              <w:rPr>
                <w:rFonts w:ascii="Montserrat" w:hAnsi="Montserrat"/>
              </w:rPr>
            </w:pPr>
            <w:r>
              <w:rPr>
                <w:rFonts w:ascii="Montserrat" w:hAnsi="Montserrat"/>
                <w:b/>
              </w:rPr>
              <w:t>Edge Weight Distribution</w:t>
            </w:r>
          </w:p>
        </w:tc>
        <w:tc>
          <w:tcPr>
            <w:tcW w:w="4514"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Distribution of similarity scores</w:t>
            </w:r>
          </w:p>
        </w:tc>
      </w:tr>
    </w:tbl>
    <w:p>
      <w:pPr>
        <w:pStyle w:val="BodyText"/>
        <w:rPr>
          <w:rFonts w:ascii="Montserrat" w:hAnsi="Montserrat"/>
        </w:rPr>
      </w:pPr>
      <w:r>
        <w:rPr/>
      </w:r>
    </w:p>
    <w:p>
      <w:pPr>
        <w:pStyle w:val="Heading2"/>
        <w:rPr>
          <w:rFonts w:ascii="Montserrat" w:hAnsi="Montserrat"/>
        </w:rPr>
      </w:pPr>
      <w:r>
        <w:rPr>
          <w:rFonts w:ascii="Montserrat" w:hAnsi="Montserrat"/>
        </w:rPr>
        <w:t>Results and Output Screenshots / Graphs</w:t>
      </w:r>
    </w:p>
    <w:p>
      <w:pPr>
        <w:pStyle w:val="Heading3"/>
        <w:rPr>
          <w:rFonts w:ascii="Montserrat" w:hAnsi="Montserrat"/>
        </w:rPr>
      </w:pPr>
      <w:r>
        <w:rPr>
          <w:rFonts w:ascii="Montserrat" w:hAnsi="Montserrat"/>
        </w:rPr>
        <w:t>CLI Output</w:t>
      </w:r>
    </w:p>
    <w:p>
      <w:pPr>
        <w:pStyle w:val="PreformattedText"/>
        <w:rPr/>
      </w:pPr>
      <w:r>
        <w:rPr/>
        <w:t>$ semlink run ./notes --output ./output</w:t>
        <w:br/>
        <w:t>[INFO] Discovered 150 notes</w:t>
        <w:br/>
        <w:t>[INFO] Generated embeddings (method: openai)</w:t>
        <w:br/>
        <w:t>[INFO] Inferred 423 links (strategy: hybrid)</w:t>
        <w:br/>
        <w:t>[INFO] Topics: 12 clusters detected</w:t>
        <w:br/>
        <w:t>[INFO] Exported graph.json</w:t>
      </w:r>
    </w:p>
    <w:p>
      <w:pPr>
        <w:pStyle w:val="Heading3"/>
        <w:rPr>
          <w:rFonts w:ascii="Montserrat" w:hAnsi="Montserrat"/>
        </w:rPr>
      </w:pPr>
      <w:r>
        <w:rPr>
          <w:rFonts w:ascii="Montserrat" w:hAnsi="Montserrat"/>
        </w:rPr>
        <w:t>Topic Output Example</w:t>
      </w:r>
    </w:p>
    <w:tbl>
      <w:tblPr>
        <w:tblW w:w="5000" w:type="pct"/>
        <w:jc w:val="start"/>
        <w:tblInd w:w="-5" w:type="dxa"/>
        <w:tblLayout w:type="fixed"/>
        <w:tblCellMar>
          <w:top w:w="55" w:type="dxa"/>
          <w:start w:w="55" w:type="dxa"/>
          <w:bottom w:w="55" w:type="dxa"/>
          <w:end w:w="55" w:type="dxa"/>
        </w:tblCellMar>
      </w:tblPr>
      <w:tblGrid>
        <w:gridCol w:w="2256"/>
        <w:gridCol w:w="2256"/>
        <w:gridCol w:w="2257"/>
        <w:gridCol w:w="2257"/>
      </w:tblGrid>
      <w:tr>
        <w:trPr>
          <w:tblHeader w:val="true"/>
        </w:trPr>
        <w:tc>
          <w:tcPr>
            <w:tcW w:w="2256"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Topic ID</w:t>
            </w:r>
          </w:p>
        </w:tc>
        <w:tc>
          <w:tcPr>
            <w:tcW w:w="2256"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Label</w:t>
            </w:r>
          </w:p>
        </w:tc>
        <w:tc>
          <w:tcPr>
            <w:tcW w:w="2257"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Notes</w:t>
            </w:r>
          </w:p>
        </w:tc>
        <w:tc>
          <w:tcPr>
            <w:tcW w:w="2257" w:type="dxa"/>
            <w:tcBorders>
              <w:top w:val="single" w:sz="4" w:space="0" w:color="000000"/>
              <w:start w:val="single" w:sz="4" w:space="0" w:color="000000"/>
              <w:bottom w:val="single" w:sz="4" w:space="0" w:color="000000"/>
              <w:end w:val="single" w:sz="4" w:space="0" w:color="000000"/>
            </w:tcBorders>
          </w:tcPr>
          <w:p>
            <w:pPr>
              <w:pStyle w:val="TableHeading"/>
              <w:spacing w:before="0" w:after="160"/>
              <w:jc w:val="start"/>
              <w:rPr>
                <w:rFonts w:ascii="Montserrat" w:hAnsi="Montserrat"/>
              </w:rPr>
            </w:pPr>
            <w:r>
              <w:rPr>
                <w:rFonts w:ascii="Montserrat" w:hAnsi="Montserrat"/>
              </w:rPr>
              <w:t>Keywords</w:t>
            </w:r>
          </w:p>
        </w:tc>
      </w:tr>
      <w:tr>
        <w:trPr/>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0</w:t>
            </w:r>
          </w:p>
        </w:tc>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Computer Networks</w:t>
            </w:r>
          </w:p>
        </w:tc>
        <w:tc>
          <w:tcPr>
            <w:tcW w:w="2257"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15</w:t>
            </w:r>
          </w:p>
        </w:tc>
        <w:tc>
          <w:tcPr>
            <w:tcW w:w="2257"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network, protocol, ip, tcp</w:t>
            </w:r>
          </w:p>
        </w:tc>
      </w:tr>
      <w:tr>
        <w:trPr/>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1</w:t>
            </w:r>
          </w:p>
        </w:tc>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Machine Learning</w:t>
            </w:r>
          </w:p>
        </w:tc>
        <w:tc>
          <w:tcPr>
            <w:tcW w:w="2257"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12</w:t>
            </w:r>
          </w:p>
        </w:tc>
        <w:tc>
          <w:tcPr>
            <w:tcW w:w="2257"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model, training, neural, gradient</w:t>
            </w:r>
          </w:p>
        </w:tc>
      </w:tr>
      <w:tr>
        <w:trPr/>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2</w:t>
            </w:r>
          </w:p>
        </w:tc>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Data Structures</w:t>
            </w:r>
          </w:p>
        </w:tc>
        <w:tc>
          <w:tcPr>
            <w:tcW w:w="2257"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8</w:t>
            </w:r>
          </w:p>
        </w:tc>
        <w:tc>
          <w:tcPr>
            <w:tcW w:w="2257"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array, tree, algorithm, complexity</w:t>
            </w:r>
          </w:p>
        </w:tc>
      </w:tr>
    </w:tbl>
    <w:p>
      <w:pPr>
        <w:pStyle w:val="BodyText"/>
        <w:rPr>
          <w:rFonts w:ascii="Montserrat" w:hAnsi="Montserrat"/>
        </w:rPr>
      </w:pPr>
      <w:r>
        <w:rPr/>
      </w:r>
    </w:p>
    <w:p>
      <w:pPr>
        <w:pStyle w:val="Heading3"/>
        <w:rPr>
          <w:rFonts w:ascii="Montserrat" w:hAnsi="Montserrat"/>
        </w:rPr>
      </w:pPr>
      <w:r>
        <w:rPr>
          <w:rFonts w:ascii="Montserrat" w:hAnsi="Montserrat"/>
        </w:rPr>
        <w:t>Web Interface</w:t>
      </w:r>
    </w:p>
    <w:p>
      <w:pPr>
        <w:pStyle w:val="BodyText"/>
        <w:rPr>
          <w:rFonts w:ascii="Montserrat" w:hAnsi="Montserrat"/>
        </w:rPr>
      </w:pPr>
      <w:r>
        <w:rPr/>
        <w:t>The React + D3.js frontend provides:</w:t>
      </w:r>
    </w:p>
    <w:p>
      <w:pPr>
        <w:pStyle w:val="BodyText"/>
        <w:numPr>
          <w:ilvl w:val="0"/>
          <w:numId w:val="8"/>
        </w:numPr>
        <w:tabs>
          <w:tab w:val="clear" w:pos="720"/>
          <w:tab w:val="left" w:pos="0" w:leader="none"/>
        </w:tabs>
        <w:ind w:hanging="283" w:start="709"/>
        <w:rPr>
          <w:rFonts w:ascii="Montserrat" w:hAnsi="Montserrat"/>
        </w:rPr>
      </w:pPr>
      <w:r>
        <w:rPr/>
        <w:t>Interactive force-directed graph visualization</w:t>
      </w:r>
    </w:p>
    <w:p>
      <w:pPr>
        <w:pStyle w:val="BodyText"/>
        <w:numPr>
          <w:ilvl w:val="0"/>
          <w:numId w:val="8"/>
        </w:numPr>
        <w:tabs>
          <w:tab w:val="clear" w:pos="720"/>
          <w:tab w:val="left" w:pos="0" w:leader="none"/>
        </w:tabs>
        <w:ind w:hanging="283" w:start="709"/>
        <w:rPr>
          <w:rFonts w:ascii="Montserrat" w:hAnsi="Montserrat"/>
        </w:rPr>
      </w:pPr>
      <w:r>
        <w:rPr/>
        <w:t>Node click to show connections and content</w:t>
      </w:r>
    </w:p>
    <w:p>
      <w:pPr>
        <w:pStyle w:val="BodyText"/>
        <w:numPr>
          <w:ilvl w:val="0"/>
          <w:numId w:val="8"/>
        </w:numPr>
        <w:tabs>
          <w:tab w:val="clear" w:pos="720"/>
          <w:tab w:val="left" w:pos="0" w:leader="none"/>
        </w:tabs>
        <w:ind w:hanging="283" w:start="709"/>
        <w:rPr>
          <w:rFonts w:ascii="Montserrat" w:hAnsi="Montserrat"/>
        </w:rPr>
      </w:pPr>
      <w:r>
        <w:rPr/>
        <w:t>Topic panel for filtering by detected clusters</w:t>
      </w:r>
    </w:p>
    <w:p>
      <w:pPr>
        <w:pStyle w:val="BodyText"/>
        <w:numPr>
          <w:ilvl w:val="0"/>
          <w:numId w:val="8"/>
        </w:numPr>
        <w:tabs>
          <w:tab w:val="clear" w:pos="720"/>
          <w:tab w:val="left" w:pos="0" w:leader="none"/>
        </w:tabs>
        <w:ind w:hanging="283" w:start="709"/>
        <w:rPr>
          <w:rFonts w:ascii="Montserrat" w:hAnsi="Montserrat"/>
        </w:rPr>
      </w:pPr>
      <w:r>
        <w:rPr/>
        <w:t>Control panel for filtering by weight and connections</w:t>
      </w:r>
    </w:p>
    <w:p>
      <w:pPr>
        <w:pStyle w:val="Heading2"/>
        <w:rPr>
          <w:rFonts w:ascii="Montserrat" w:hAnsi="Montserrat"/>
        </w:rPr>
      </w:pPr>
      <w:r>
        <w:rPr>
          <w:rFonts w:ascii="Montserrat" w:hAnsi="Montserrat"/>
        </w:rPr>
        <w:t>Performance Analysis / Discussion</w:t>
      </w:r>
    </w:p>
    <w:p>
      <w:pPr>
        <w:pStyle w:val="Heading3"/>
        <w:rPr>
          <w:rFonts w:ascii="Montserrat" w:hAnsi="Montserrat"/>
        </w:rPr>
      </w:pPr>
      <w:r>
        <w:rPr>
          <w:rFonts w:ascii="Montserrat" w:hAnsi="Montserrat"/>
        </w:rPr>
        <w:t>Embedding Method Comparison</w:t>
      </w:r>
    </w:p>
    <w:tbl>
      <w:tblPr>
        <w:tblW w:w="5000" w:type="pct"/>
        <w:jc w:val="start"/>
        <w:tblInd w:w="-5" w:type="dxa"/>
        <w:tblLayout w:type="fixed"/>
        <w:tblCellMar>
          <w:top w:w="55" w:type="dxa"/>
          <w:start w:w="55" w:type="dxa"/>
          <w:bottom w:w="55" w:type="dxa"/>
          <w:end w:w="55" w:type="dxa"/>
        </w:tblCellMar>
      </w:tblPr>
      <w:tblGrid>
        <w:gridCol w:w="2256"/>
        <w:gridCol w:w="2256"/>
        <w:gridCol w:w="2257"/>
        <w:gridCol w:w="2257"/>
      </w:tblGrid>
      <w:tr>
        <w:trPr>
          <w:tblHeader w:val="true"/>
        </w:trPr>
        <w:tc>
          <w:tcPr>
            <w:tcW w:w="2256"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Method</w:t>
            </w:r>
          </w:p>
        </w:tc>
        <w:tc>
          <w:tcPr>
            <w:tcW w:w="2256"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Speed</w:t>
            </w:r>
          </w:p>
        </w:tc>
        <w:tc>
          <w:tcPr>
            <w:tcW w:w="2257"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Quality</w:t>
            </w:r>
          </w:p>
        </w:tc>
        <w:tc>
          <w:tcPr>
            <w:tcW w:w="2257" w:type="dxa"/>
            <w:tcBorders>
              <w:top w:val="single" w:sz="4" w:space="0" w:color="000000"/>
              <w:start w:val="single" w:sz="4" w:space="0" w:color="000000"/>
              <w:bottom w:val="single" w:sz="4" w:space="0" w:color="000000"/>
              <w:end w:val="single" w:sz="4" w:space="0" w:color="000000"/>
            </w:tcBorders>
          </w:tcPr>
          <w:p>
            <w:pPr>
              <w:pStyle w:val="TableHeading"/>
              <w:spacing w:before="0" w:after="160"/>
              <w:jc w:val="start"/>
              <w:rPr>
                <w:rFonts w:ascii="Montserrat" w:hAnsi="Montserrat"/>
              </w:rPr>
            </w:pPr>
            <w:r>
              <w:rPr>
                <w:rFonts w:ascii="Montserrat" w:hAnsi="Montserrat"/>
              </w:rPr>
              <w:t>Resources</w:t>
            </w:r>
          </w:p>
        </w:tc>
      </w:tr>
      <w:tr>
        <w:trPr/>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TF-IDF</w:t>
            </w:r>
          </w:p>
        </w:tc>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Fastest</w:t>
            </w:r>
          </w:p>
        </w:tc>
        <w:tc>
          <w:tcPr>
            <w:tcW w:w="2257"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Baseline</w:t>
            </w:r>
          </w:p>
        </w:tc>
        <w:tc>
          <w:tcPr>
            <w:tcW w:w="2257"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Low (CPU)</w:t>
            </w:r>
          </w:p>
        </w:tc>
      </w:tr>
      <w:tr>
        <w:trPr/>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SBERT</w:t>
            </w:r>
          </w:p>
        </w:tc>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Moderate</w:t>
            </w:r>
          </w:p>
        </w:tc>
        <w:tc>
          <w:tcPr>
            <w:tcW w:w="2257"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Good</w:t>
            </w:r>
          </w:p>
        </w:tc>
        <w:tc>
          <w:tcPr>
            <w:tcW w:w="2257"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Medium (GPU)</w:t>
            </w:r>
          </w:p>
        </w:tc>
      </w:tr>
      <w:tr>
        <w:trPr/>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OpenAI</w:t>
            </w:r>
          </w:p>
        </w:tc>
        <w:tc>
          <w:tcPr>
            <w:tcW w:w="2256"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Fast</w:t>
            </w:r>
          </w:p>
        </w:tc>
        <w:tc>
          <w:tcPr>
            <w:tcW w:w="2257"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Best</w:t>
            </w:r>
          </w:p>
        </w:tc>
        <w:tc>
          <w:tcPr>
            <w:tcW w:w="2257"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API cost</w:t>
            </w:r>
          </w:p>
        </w:tc>
      </w:tr>
    </w:tbl>
    <w:p>
      <w:pPr>
        <w:pStyle w:val="BodyText"/>
        <w:rPr>
          <w:rFonts w:ascii="Montserrat" w:hAnsi="Montserrat"/>
        </w:rPr>
      </w:pPr>
      <w:r>
        <w:rPr/>
      </w:r>
    </w:p>
    <w:p>
      <w:pPr>
        <w:pStyle w:val="Heading3"/>
        <w:rPr>
          <w:rFonts w:ascii="Montserrat" w:hAnsi="Montserrat"/>
        </w:rPr>
      </w:pPr>
      <w:r>
        <w:rPr>
          <w:rFonts w:ascii="Montserrat" w:hAnsi="Montserrat"/>
        </w:rPr>
        <w:t>Link Strategy Comparison</w:t>
      </w:r>
    </w:p>
    <w:tbl>
      <w:tblPr>
        <w:tblW w:w="5000" w:type="pct"/>
        <w:jc w:val="start"/>
        <w:tblInd w:w="-5" w:type="dxa"/>
        <w:tblLayout w:type="fixed"/>
        <w:tblCellMar>
          <w:top w:w="55" w:type="dxa"/>
          <w:start w:w="55" w:type="dxa"/>
          <w:bottom w:w="55" w:type="dxa"/>
          <w:end w:w="55" w:type="dxa"/>
        </w:tblCellMar>
      </w:tblPr>
      <w:tblGrid>
        <w:gridCol w:w="3008"/>
        <w:gridCol w:w="3009"/>
        <w:gridCol w:w="3009"/>
      </w:tblGrid>
      <w:tr>
        <w:trPr>
          <w:tblHeader w:val="true"/>
        </w:trPr>
        <w:tc>
          <w:tcPr>
            <w:tcW w:w="3008"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Strategy</w:t>
            </w:r>
          </w:p>
        </w:tc>
        <w:tc>
          <w:tcPr>
            <w:tcW w:w="3009"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Graph Density</w:t>
            </w:r>
          </w:p>
        </w:tc>
        <w:tc>
          <w:tcPr>
            <w:tcW w:w="3009" w:type="dxa"/>
            <w:tcBorders>
              <w:top w:val="single" w:sz="4" w:space="0" w:color="000000"/>
              <w:start w:val="single" w:sz="4" w:space="0" w:color="000000"/>
              <w:bottom w:val="single" w:sz="4" w:space="0" w:color="000000"/>
              <w:end w:val="single" w:sz="4" w:space="0" w:color="000000"/>
            </w:tcBorders>
          </w:tcPr>
          <w:p>
            <w:pPr>
              <w:pStyle w:val="TableHeading"/>
              <w:spacing w:before="0" w:after="160"/>
              <w:jc w:val="start"/>
              <w:rPr>
                <w:rFonts w:ascii="Montserrat" w:hAnsi="Montserrat"/>
              </w:rPr>
            </w:pPr>
            <w:r>
              <w:rPr>
                <w:rFonts w:ascii="Montserrat" w:hAnsi="Montserrat"/>
              </w:rPr>
              <w:t>Interpretability</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Threshold</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Sparse</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High (clear cutoffs)</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KNN</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Moderate</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Medium</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Hybrid</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Balanced</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High</w:t>
            </w:r>
          </w:p>
        </w:tc>
      </w:tr>
    </w:tbl>
    <w:p>
      <w:pPr>
        <w:pStyle w:val="BodyText"/>
        <w:rPr>
          <w:rFonts w:ascii="Montserrat" w:hAnsi="Montserrat"/>
        </w:rPr>
      </w:pPr>
      <w:r>
        <w:rPr/>
      </w:r>
    </w:p>
    <w:p>
      <w:pPr>
        <w:pStyle w:val="Heading3"/>
        <w:rPr>
          <w:rFonts w:ascii="Montserrat" w:hAnsi="Montserrat"/>
        </w:rPr>
      </w:pPr>
      <w:r>
        <w:rPr>
          <w:rFonts w:ascii="Montserrat" w:hAnsi="Montserrat"/>
        </w:rPr>
        <w:t>Topic Generation Quality</w:t>
      </w:r>
    </w:p>
    <w:p>
      <w:pPr>
        <w:pStyle w:val="BodyText"/>
        <w:rPr>
          <w:rFonts w:ascii="Montserrat" w:hAnsi="Montserrat"/>
        </w:rPr>
      </w:pPr>
      <w:r>
        <w:rPr/>
        <w:t>The LLM-based topic generation significantly outperforms keyword-based approaches:</w:t>
      </w:r>
    </w:p>
    <w:p>
      <w:pPr>
        <w:pStyle w:val="BodyText"/>
        <w:numPr>
          <w:ilvl w:val="0"/>
          <w:numId w:val="9"/>
        </w:numPr>
        <w:tabs>
          <w:tab w:val="clear" w:pos="720"/>
          <w:tab w:val="left" w:pos="0" w:leader="none"/>
        </w:tabs>
        <w:ind w:hanging="283" w:start="709"/>
        <w:rPr>
          <w:rFonts w:ascii="Montserrat" w:hAnsi="Montserrat"/>
        </w:rPr>
      </w:pPr>
      <w:r>
        <w:rPr>
          <w:b/>
        </w:rPr>
        <w:t>Keyword-based</w:t>
      </w:r>
      <w:r>
        <w:rPr/>
        <w:t>: Produces generic labels like "Model &amp; State &amp; Learning"</w:t>
      </w:r>
    </w:p>
    <w:p>
      <w:pPr>
        <w:pStyle w:val="BodyText"/>
        <w:numPr>
          <w:ilvl w:val="0"/>
          <w:numId w:val="9"/>
        </w:numPr>
        <w:tabs>
          <w:tab w:val="clear" w:pos="720"/>
          <w:tab w:val="left" w:pos="0" w:leader="none"/>
        </w:tabs>
        <w:ind w:hanging="283" w:start="709"/>
        <w:rPr>
          <w:rFonts w:ascii="Montserrat" w:hAnsi="Montserrat"/>
        </w:rPr>
      </w:pPr>
      <w:r>
        <w:rPr>
          <w:b/>
        </w:rPr>
        <w:t>LLM-based</w:t>
      </w:r>
      <w:r>
        <w:rPr/>
        <w:t>: Produces descriptive labels like "Computer Networks", "Machine Learning"</w:t>
      </w:r>
    </w:p>
    <w:p>
      <w:pPr>
        <w:pStyle w:val="Heading3"/>
        <w:rPr>
          <w:rFonts w:ascii="Montserrat" w:hAnsi="Montserrat"/>
        </w:rPr>
      </w:pPr>
      <w:r>
        <w:rPr>
          <w:rFonts w:ascii="Montserrat" w:hAnsi="Montserrat"/>
        </w:rPr>
        <w:t>Challenges Addressed</w:t>
      </w:r>
    </w:p>
    <w:p>
      <w:pPr>
        <w:pStyle w:val="BodyText"/>
        <w:numPr>
          <w:ilvl w:val="0"/>
          <w:numId w:val="10"/>
        </w:numPr>
        <w:tabs>
          <w:tab w:val="clear" w:pos="720"/>
          <w:tab w:val="left" w:pos="0" w:leader="none"/>
        </w:tabs>
        <w:ind w:hanging="283" w:start="709"/>
        <w:rPr>
          <w:rFonts w:ascii="Montserrat" w:hAnsi="Montserrat"/>
        </w:rPr>
      </w:pPr>
      <w:r>
        <w:rPr>
          <w:b/>
        </w:rPr>
        <w:t>Poor Ignoring</w:t>
      </w:r>
      <w:r>
        <w:rPr/>
        <w:t>: Added .semLinkIgnore support for custom patterns</w:t>
      </w:r>
    </w:p>
    <w:p>
      <w:pPr>
        <w:pStyle w:val="BodyText"/>
        <w:numPr>
          <w:ilvl w:val="0"/>
          <w:numId w:val="10"/>
        </w:numPr>
        <w:tabs>
          <w:tab w:val="clear" w:pos="720"/>
          <w:tab w:val="left" w:pos="0" w:leader="none"/>
        </w:tabs>
        <w:ind w:hanging="283" w:start="709"/>
        <w:rPr>
          <w:rFonts w:ascii="Montserrat" w:hAnsi="Montserrat"/>
        </w:rPr>
      </w:pPr>
      <w:r>
        <w:rPr>
          <w:b/>
        </w:rPr>
        <w:t>Poor Topic Headings</w:t>
      </w:r>
      <w:r>
        <w:rPr/>
        <w:t>: Now using LLM to generate descriptive labels</w:t>
      </w:r>
    </w:p>
    <w:p>
      <w:pPr>
        <w:pStyle w:val="BodyText"/>
        <w:numPr>
          <w:ilvl w:val="0"/>
          <w:numId w:val="10"/>
        </w:numPr>
        <w:tabs>
          <w:tab w:val="clear" w:pos="720"/>
          <w:tab w:val="left" w:pos="0" w:leader="none"/>
        </w:tabs>
        <w:ind w:hanging="283" w:start="709"/>
        <w:rPr>
          <w:rFonts w:ascii="Montserrat" w:hAnsi="Montserrat"/>
        </w:rPr>
      </w:pPr>
      <w:r>
        <w:rPr>
          <w:b/>
        </w:rPr>
        <w:t>Binary Content</w:t>
      </w:r>
      <w:r>
        <w:rPr/>
        <w:t>: Added text filtering before API calls to prevent errors</w:t>
      </w:r>
    </w:p>
    <w:p>
      <w:pPr>
        <w:pStyle w:val="Heading2"/>
        <w:rPr>
          <w:rFonts w:ascii="Montserrat" w:hAnsi="Montserrat"/>
        </w:rPr>
      </w:pPr>
      <w:r>
        <w:rPr>
          <w:rFonts w:ascii="Montserrat" w:hAnsi="Montserrat"/>
        </w:rPr>
      </w:r>
    </w:p>
    <w:p>
      <w:pPr>
        <w:pStyle w:val="Heading2"/>
        <w:rPr>
          <w:rFonts w:ascii="Montserrat" w:hAnsi="Montserrat"/>
        </w:rPr>
      </w:pPr>
      <w:r>
        <w:rPr>
          <w:rFonts w:ascii="Montserrat" w:hAnsi="Montserrat"/>
        </w:rPr>
        <w:t>Conclusion</w:t>
      </w:r>
    </w:p>
    <w:p>
      <w:pPr>
        <w:pStyle w:val="BodyText"/>
        <w:rPr>
          <w:rFonts w:ascii="Montserrat" w:hAnsi="Montserrat"/>
        </w:rPr>
      </w:pPr>
      <w:r>
        <w:rPr/>
        <w:t>SemLink successfully demonstrates automatic semantic note linking using deep learning approaches. The key achievements include:</w:t>
      </w:r>
    </w:p>
    <w:p>
      <w:pPr>
        <w:pStyle w:val="BodyText"/>
        <w:numPr>
          <w:ilvl w:val="0"/>
          <w:numId w:val="11"/>
        </w:numPr>
        <w:tabs>
          <w:tab w:val="clear" w:pos="720"/>
          <w:tab w:val="left" w:pos="0" w:leader="none"/>
        </w:tabs>
        <w:ind w:hanging="283" w:start="709"/>
        <w:rPr>
          <w:rFonts w:ascii="Montserrat" w:hAnsi="Montserrat"/>
        </w:rPr>
      </w:pPr>
      <w:r>
        <w:rPr>
          <w:b/>
        </w:rPr>
        <w:t>Automated Discovery</w:t>
      </w:r>
      <w:r>
        <w:rPr/>
        <w:t>: No manual linking required—relationships are inferred from content</w:t>
      </w:r>
    </w:p>
    <w:p>
      <w:pPr>
        <w:pStyle w:val="BodyText"/>
        <w:numPr>
          <w:ilvl w:val="0"/>
          <w:numId w:val="11"/>
        </w:numPr>
        <w:tabs>
          <w:tab w:val="clear" w:pos="720"/>
          <w:tab w:val="left" w:pos="0" w:leader="none"/>
        </w:tabs>
        <w:ind w:hanging="283" w:start="709"/>
        <w:rPr>
          <w:rFonts w:ascii="Montserrat" w:hAnsi="Montserrat"/>
        </w:rPr>
      </w:pPr>
      <w:r>
        <w:rPr>
          <w:b/>
        </w:rPr>
        <w:t>Multiple Methods</w:t>
      </w:r>
      <w:r>
        <w:rPr/>
        <w:t>: Comparison of TF-IDF baseline vs neural embeddings vs OpenAI</w:t>
      </w:r>
    </w:p>
    <w:p>
      <w:pPr>
        <w:pStyle w:val="BodyText"/>
        <w:numPr>
          <w:ilvl w:val="0"/>
          <w:numId w:val="11"/>
        </w:numPr>
        <w:tabs>
          <w:tab w:val="clear" w:pos="720"/>
          <w:tab w:val="left" w:pos="0" w:leader="none"/>
        </w:tabs>
        <w:ind w:hanging="283" w:start="709"/>
        <w:rPr>
          <w:rFonts w:ascii="Montserrat" w:hAnsi="Montserrat"/>
        </w:rPr>
      </w:pPr>
      <w:r>
        <w:rPr>
          <w:b/>
        </w:rPr>
        <w:t>Interpretable Graph</w:t>
      </w:r>
      <w:r>
        <w:rPr/>
        <w:t>: Filtered connections via threshold and KNN strategies</w:t>
      </w:r>
    </w:p>
    <w:p>
      <w:pPr>
        <w:pStyle w:val="BodyText"/>
        <w:numPr>
          <w:ilvl w:val="0"/>
          <w:numId w:val="11"/>
        </w:numPr>
        <w:tabs>
          <w:tab w:val="clear" w:pos="720"/>
          <w:tab w:val="left" w:pos="0" w:leader="none"/>
        </w:tabs>
        <w:ind w:hanging="283" w:start="709"/>
        <w:rPr>
          <w:rFonts w:ascii="Montserrat" w:hAnsi="Montserrat"/>
        </w:rPr>
      </w:pPr>
      <w:r>
        <w:rPr>
          <w:b/>
        </w:rPr>
        <w:t>Topic Clusters</w:t>
      </w:r>
      <w:r>
        <w:rPr/>
        <w:t>: LLM-generated descriptive topic labels using GPT-4o-mini</w:t>
      </w:r>
    </w:p>
    <w:p>
      <w:pPr>
        <w:pStyle w:val="BodyText"/>
        <w:numPr>
          <w:ilvl w:val="0"/>
          <w:numId w:val="11"/>
        </w:numPr>
        <w:tabs>
          <w:tab w:val="clear" w:pos="720"/>
          <w:tab w:val="left" w:pos="0" w:leader="none"/>
        </w:tabs>
        <w:ind w:hanging="283" w:start="709"/>
        <w:rPr>
          <w:rFonts w:ascii="Montserrat" w:hAnsi="Montserrat"/>
        </w:rPr>
      </w:pPr>
      <w:r>
        <w:rPr>
          <w:b/>
        </w:rPr>
        <w:t>Accessible CLI</w:t>
      </w:r>
      <w:r>
        <w:rPr/>
        <w:t>: Complete pipeline from ingestion to visualization</w:t>
      </w:r>
    </w:p>
    <w:p>
      <w:pPr>
        <w:pStyle w:val="BodyText"/>
        <w:rPr>
          <w:rFonts w:ascii="Montserrat" w:hAnsi="Montserrat"/>
        </w:rPr>
      </w:pPr>
      <w:r>
        <w:rPr/>
        <w:t>The comparison between embedding methods shows clear quality improvements:</w:t>
      </w:r>
    </w:p>
    <w:p>
      <w:pPr>
        <w:pStyle w:val="BodyText"/>
        <w:numPr>
          <w:ilvl w:val="0"/>
          <w:numId w:val="12"/>
        </w:numPr>
        <w:tabs>
          <w:tab w:val="clear" w:pos="720"/>
          <w:tab w:val="left" w:pos="0" w:leader="none"/>
        </w:tabs>
        <w:ind w:hanging="283" w:start="709"/>
        <w:rPr>
          <w:rFonts w:ascii="Montserrat" w:hAnsi="Montserrat"/>
        </w:rPr>
      </w:pPr>
      <w:r>
        <w:rPr/>
        <w:t>TF-IDF provides fast baseline results with minimal resources</w:t>
      </w:r>
    </w:p>
    <w:p>
      <w:pPr>
        <w:pStyle w:val="BodyText"/>
        <w:numPr>
          <w:ilvl w:val="0"/>
          <w:numId w:val="12"/>
        </w:numPr>
        <w:tabs>
          <w:tab w:val="clear" w:pos="720"/>
          <w:tab w:val="left" w:pos="0" w:leader="none"/>
        </w:tabs>
        <w:ind w:hanging="283" w:start="709"/>
        <w:rPr>
          <w:rFonts w:ascii="Montserrat" w:hAnsi="Montserrat"/>
        </w:rPr>
      </w:pPr>
      <w:r>
        <w:rPr/>
        <w:t>SBERT captures semantic similarity better than TF-IDF</w:t>
      </w:r>
    </w:p>
    <w:p>
      <w:pPr>
        <w:pStyle w:val="BodyText"/>
        <w:numPr>
          <w:ilvl w:val="0"/>
          <w:numId w:val="12"/>
        </w:numPr>
        <w:tabs>
          <w:tab w:val="clear" w:pos="720"/>
          <w:tab w:val="left" w:pos="0" w:leader="none"/>
        </w:tabs>
        <w:ind w:hanging="283" w:start="709"/>
        <w:rPr>
          <w:rFonts w:ascii="Montserrat" w:hAnsi="Montserrat"/>
        </w:rPr>
      </w:pPr>
      <w:r>
        <w:rPr/>
        <w:t>OpenAI provides highest quality with cloud resources</w:t>
      </w:r>
    </w:p>
    <w:p>
      <w:pPr>
        <w:pStyle w:val="BodyText"/>
        <w:numPr>
          <w:ilvl w:val="0"/>
          <w:numId w:val="12"/>
        </w:numPr>
        <w:tabs>
          <w:tab w:val="clear" w:pos="720"/>
          <w:tab w:val="left" w:pos="0" w:leader="none"/>
        </w:tabs>
        <w:ind w:hanging="283" w:start="709"/>
        <w:rPr>
          <w:rFonts w:ascii="Montserrat" w:hAnsi="Montserrat"/>
        </w:rPr>
      </w:pPr>
      <w:r>
        <w:rPr/>
        <w:t>LLM topic generation produces human-readable descriptive labels</w:t>
      </w:r>
    </w:p>
    <w:p>
      <w:pPr>
        <w:pStyle w:val="BodyText"/>
        <w:rPr>
          <w:rFonts w:ascii="Montserrat" w:hAnsi="Montserrat"/>
        </w:rPr>
      </w:pPr>
      <w:r>
        <w:rPr/>
        <w:t>The system successfully addresses manual note-linking fatigue by automatically discovering meaningful relationships and presenting them as an interactive knowledge graph.</w:t>
      </w:r>
    </w:p>
    <w:p>
      <w:pPr>
        <w:pStyle w:val="BodyText"/>
        <w:rPr>
          <w:rFonts w:ascii="Montserrat" w:hAnsi="Montserrat"/>
        </w:rPr>
      </w:pPr>
      <w:r>
        <w:rPr/>
      </w:r>
    </w:p>
    <w:p>
      <w:pPr>
        <w:pStyle w:val="Heading2"/>
        <w:rPr>
          <w:rFonts w:ascii="Montserrat" w:hAnsi="Montserrat"/>
        </w:rPr>
      </w:pPr>
      <w:r>
        <w:rPr>
          <w:rFonts w:ascii="Montserrat" w:hAnsi="Montserrat"/>
        </w:rPr>
        <w:t xml:space="preserve">Appendix </w:t>
      </w:r>
      <w:r>
        <w:rPr>
          <w:rFonts w:ascii="Montserrat" w:hAnsi="Montserrat"/>
        </w:rPr>
        <w:t>I</w:t>
      </w:r>
      <w:r>
        <w:rPr>
          <w:rFonts w:ascii="Montserrat" w:hAnsi="Montserrat"/>
        </w:rPr>
        <w:t xml:space="preserve">: </w:t>
      </w:r>
      <w:r>
        <w:rPr>
          <w:rFonts w:ascii="Montserrat" w:hAnsi="Montserrat"/>
        </w:rPr>
        <w:t>Outputs</w:t>
      </w:r>
    </w:p>
    <w:p>
      <w:pPr>
        <w:pStyle w:val="Normal"/>
        <w:rPr>
          <w:rFonts w:ascii="Montserrat" w:hAnsi="Montserrat"/>
        </w:rPr>
      </w:pPr>
      <w:r>
        <w:rPr>
          <w:rFonts w:ascii="Montserrat" w:hAnsi="Montserrat"/>
        </w:rPr>
      </w:r>
    </w:p>
    <w:tbl>
      <w:tblPr>
        <w:tblW w:w="5000" w:type="pct"/>
        <w:jc w:val="start"/>
        <w:tblInd w:w="-5" w:type="dxa"/>
        <w:tblLayout w:type="fixed"/>
        <w:tblCellMar>
          <w:top w:w="55" w:type="dxa"/>
          <w:start w:w="55" w:type="dxa"/>
          <w:bottom w:w="55" w:type="dxa"/>
          <w:end w:w="55" w:type="dxa"/>
        </w:tblCellMar>
      </w:tblPr>
      <w:tblGrid>
        <w:gridCol w:w="3008"/>
        <w:gridCol w:w="3009"/>
        <w:gridCol w:w="3009"/>
      </w:tblGrid>
      <w:tr>
        <w:trPr>
          <w:tblHeader w:val="true"/>
        </w:trPr>
        <w:tc>
          <w:tcPr>
            <w:tcW w:w="3008"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Stage</w:t>
            </w:r>
          </w:p>
        </w:tc>
        <w:tc>
          <w:tcPr>
            <w:tcW w:w="3009" w:type="dxa"/>
            <w:tcBorders>
              <w:top w:val="single" w:sz="4" w:space="0" w:color="000000"/>
              <w:start w:val="single" w:sz="4" w:space="0" w:color="000000"/>
              <w:bottom w:val="single" w:sz="4" w:space="0" w:color="000000"/>
            </w:tcBorders>
          </w:tcPr>
          <w:p>
            <w:pPr>
              <w:pStyle w:val="TableHeading"/>
              <w:spacing w:before="0" w:after="160"/>
              <w:jc w:val="start"/>
              <w:rPr>
                <w:rFonts w:ascii="Montserrat" w:hAnsi="Montserrat"/>
              </w:rPr>
            </w:pPr>
            <w:r>
              <w:rPr>
                <w:rFonts w:ascii="Montserrat" w:hAnsi="Montserrat"/>
              </w:rPr>
              <w:t>Output</w:t>
            </w:r>
          </w:p>
        </w:tc>
        <w:tc>
          <w:tcPr>
            <w:tcW w:w="3009" w:type="dxa"/>
            <w:tcBorders>
              <w:top w:val="single" w:sz="4" w:space="0" w:color="000000"/>
              <w:start w:val="single" w:sz="4" w:space="0" w:color="000000"/>
              <w:bottom w:val="single" w:sz="4" w:space="0" w:color="000000"/>
              <w:end w:val="single" w:sz="4" w:space="0" w:color="000000"/>
            </w:tcBorders>
          </w:tcPr>
          <w:p>
            <w:pPr>
              <w:pStyle w:val="TableHeading"/>
              <w:spacing w:before="0" w:after="160"/>
              <w:jc w:val="start"/>
              <w:rPr>
                <w:rFonts w:ascii="Montserrat" w:hAnsi="Montserrat"/>
              </w:rPr>
            </w:pPr>
            <w:r>
              <w:rPr>
                <w:rFonts w:ascii="Montserrat" w:hAnsi="Montserrat"/>
              </w:rPr>
              <w:t>Purpose</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Ingestion</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notes.json</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Acts as the initial input for all text processing.</w:t>
            </w:r>
          </w:p>
          <w:p>
            <w:pPr>
              <w:pStyle w:val="TableContents"/>
              <w:spacing w:before="0" w:after="160"/>
              <w:jc w:val="start"/>
              <w:rPr>
                <w:rFonts w:ascii="Montserrat" w:hAnsi="Montserrat"/>
              </w:rPr>
            </w:pPr>
            <w:r>
              <w:rPr>
                <w:rFonts w:ascii="Montserrat" w:hAnsi="Montserrat"/>
              </w:rPr>
              <w:t>Structured JSON file</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Embedding generation</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embeddings.npz</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Embeddings over the complete input corpus</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Linking</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graph.json</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Structured graph object in format as required for frontend generation</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Aggregation</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Modified graph.json</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This step alters the graph.json file to add color for identified topics and trends</w:t>
            </w:r>
          </w:p>
        </w:tc>
      </w:tr>
      <w:tr>
        <w:trPr/>
        <w:tc>
          <w:tcPr>
            <w:tcW w:w="3008"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Topic Generation</w:t>
            </w:r>
          </w:p>
        </w:tc>
        <w:tc>
          <w:tcPr>
            <w:tcW w:w="3009" w:type="dxa"/>
            <w:tcBorders>
              <w:start w:val="single" w:sz="4" w:space="0" w:color="000000"/>
              <w:bottom w:val="single" w:sz="4" w:space="0" w:color="000000"/>
            </w:tcBorders>
          </w:tcPr>
          <w:p>
            <w:pPr>
              <w:pStyle w:val="TableContents"/>
              <w:spacing w:before="0" w:after="160"/>
              <w:jc w:val="start"/>
              <w:rPr>
                <w:rFonts w:ascii="Montserrat" w:hAnsi="Montserrat"/>
              </w:rPr>
            </w:pPr>
            <w:r>
              <w:rPr>
                <w:rFonts w:ascii="Montserrat" w:hAnsi="Montserrat"/>
              </w:rPr>
              <w:t>Aggregated topic list (endpoint)</w:t>
            </w:r>
          </w:p>
        </w:tc>
        <w:tc>
          <w:tcPr>
            <w:tcW w:w="3009" w:type="dxa"/>
            <w:tcBorders>
              <w:start w:val="single" w:sz="4" w:space="0" w:color="000000"/>
              <w:bottom w:val="single" w:sz="4" w:space="0" w:color="000000"/>
              <w:end w:val="single" w:sz="4" w:space="0" w:color="000000"/>
            </w:tcBorders>
          </w:tcPr>
          <w:p>
            <w:pPr>
              <w:pStyle w:val="TableContents"/>
              <w:spacing w:before="0" w:after="160"/>
              <w:jc w:val="start"/>
              <w:rPr>
                <w:rFonts w:ascii="Montserrat" w:hAnsi="Montserrat"/>
              </w:rPr>
            </w:pPr>
            <w:r>
              <w:rPr>
                <w:rFonts w:ascii="Montserrat" w:hAnsi="Montserrat"/>
              </w:rPr>
              <w:t>Returns beautified titles for inferred topics</w:t>
            </w:r>
          </w:p>
        </w:tc>
      </w:tr>
    </w:tbl>
    <w:p>
      <w:pPr>
        <w:pStyle w:val="Heading2"/>
        <w:rPr>
          <w:rFonts w:ascii="Montserrat" w:hAnsi="Montserrat"/>
        </w:rPr>
      </w:pPr>
      <w:r>
        <w:rPr>
          <w:rFonts w:ascii="Montserrat" w:hAnsi="Montserrat"/>
        </w:rPr>
      </w:r>
    </w:p>
    <w:p>
      <w:pPr>
        <w:pStyle w:val="Normal"/>
        <w:rPr>
          <w:rFonts w:ascii="Montserrat" w:hAnsi="Montserrat"/>
        </w:rPr>
      </w:pPr>
      <w:r>
        <w:rPr>
          <w:rFonts w:ascii="Montserrat" w:hAnsi="Montserrat"/>
        </w:rPr>
      </w:r>
      <w:r>
        <mc:AlternateContent>
          <mc:Choice Requires="wps">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3403600"/>
                <wp:effectExtent l="0" t="0" r="0" b="0"/>
                <wp:wrapSquare wrapText="largest"/>
                <wp:docPr id="2" name="Frame3"/>
                <a:graphic xmlns:a="http://schemas.openxmlformats.org/drawingml/2006/main">
                  <a:graphicData uri="http://schemas.microsoft.com/office/word/2010/wordprocessingShape">
                    <wps:wsp>
                      <wps:cNvSpPr txBox="1"/>
                      <wps:spPr>
                        <a:xfrm>
                          <a:off x="0" y="0"/>
                          <a:ext cx="5731510" cy="3403600"/>
                        </a:xfrm>
                        <a:prstGeom prst="rect"/>
                        <a:solidFill>
                          <a:srgbClr val="FFFFFF"/>
                        </a:solidFill>
                      </wps:spPr>
                      <wps:txbx>
                        <w:txbxContent>
                          <w:p>
                            <w:pPr>
                              <w:pStyle w:val="Figure"/>
                              <w:spacing w:before="120" w:after="120"/>
                              <w:rPr/>
                            </w:pPr>
                            <w:r>
                              <w:rPr/>
                              <w:drawing>
                                <wp:inline distT="0" distB="0" distL="0" distR="0">
                                  <wp:extent cx="5731510" cy="3053715"/>
                                  <wp:effectExtent l="0" t="0" r="0" b="0"/>
                                  <wp:docPr id="3" name="Image1" descr="SemLink Visualized output over 3 years of academic materi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SemLink Visualized output over 3 years of academic material&#10;"/>
                                          <pic:cNvPicPr>
                                            <a:picLocks noChangeAspect="1" noChangeArrowheads="1"/>
                                          </pic:cNvPicPr>
                                        </pic:nvPicPr>
                                        <pic:blipFill>
                                          <a:blip r:embed="rId4"/>
                                          <a:stretch>
                                            <a:fillRect/>
                                          </a:stretch>
                                        </pic:blipFill>
                                        <pic:spPr bwMode="auto">
                                          <a:xfrm>
                                            <a:off x="0" y="0"/>
                                            <a:ext cx="5731510" cy="30537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Semlink Output - Engineering Resources</w:t>
                            </w:r>
                          </w:p>
                        </w:txbxContent>
                      </wps:txbx>
                      <wps:bodyPr anchor="t" lIns="0" tIns="0" rIns="0" bIns="0">
                        <a:noAutofit/>
                      </wps:bodyPr>
                    </wps:wsp>
                  </a:graphicData>
                </a:graphic>
              </wp:anchor>
            </w:drawing>
          </mc:Choice>
          <mc:Fallback>
            <w:pict>
              <v:rect style="position:absolute;rotation:-0;width:451.3pt;height:26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731510" cy="3053715"/>
                            <wp:effectExtent l="0" t="0" r="0" b="0"/>
                            <wp:docPr id="4" name="Image1" descr="SemLink Visualized output over 3 years of academic materi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SemLink Visualized output over 3 years of academic material&#10;"/>
                                    <pic:cNvPicPr>
                                      <a:picLocks noChangeAspect="1" noChangeArrowheads="1"/>
                                    </pic:cNvPicPr>
                                  </pic:nvPicPr>
                                  <pic:blipFill>
                                    <a:blip r:embed="rId5"/>
                                    <a:stretch>
                                      <a:fillRect/>
                                    </a:stretch>
                                  </pic:blipFill>
                                  <pic:spPr bwMode="auto">
                                    <a:xfrm>
                                      <a:off x="0" y="0"/>
                                      <a:ext cx="5731510" cy="30537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Semlink Output - Engineering Resources</w:t>
                      </w:r>
                    </w:p>
                  </w:txbxContent>
                </v:textbox>
                <w10:wrap type="square" side="largest"/>
              </v:rect>
            </w:pict>
          </mc:Fallback>
        </mc:AlternateContent>
      </w:r>
    </w:p>
    <w:p>
      <w:pPr>
        <w:pStyle w:val="Heading2"/>
        <w:rPr>
          <w:rFonts w:ascii="Montserrat" w:hAnsi="Montserrat"/>
        </w:rPr>
      </w:pPr>
      <w:r>
        <w:rPr>
          <w:rFonts w:ascii="Montserrat" w:hAnsi="Montserrat"/>
        </w:rPr>
      </w:r>
      <w:r>
        <mc:AlternateContent>
          <mc:Choice Requires="wps">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31510" cy="4071620"/>
                <wp:effectExtent l="0" t="0" r="0" b="0"/>
                <wp:wrapSquare wrapText="largest"/>
                <wp:docPr id="5" name="Frame6"/>
                <a:graphic xmlns:a="http://schemas.openxmlformats.org/drawingml/2006/main">
                  <a:graphicData uri="http://schemas.microsoft.com/office/word/2010/wordprocessingShape">
                    <wps:wsp>
                      <wps:cNvSpPr txBox="1"/>
                      <wps:spPr>
                        <a:xfrm>
                          <a:off x="0" y="0"/>
                          <a:ext cx="5731510" cy="4071620"/>
                        </a:xfrm>
                        <a:prstGeom prst="rect"/>
                        <a:solidFill>
                          <a:srgbClr val="FFFFFF"/>
                        </a:solidFill>
                      </wps:spPr>
                      <wps:txbx>
                        <w:txbxContent>
                          <w:p>
                            <w:pPr>
                              <w:pStyle w:val="Figure"/>
                              <w:spacing w:before="120" w:after="120"/>
                              <w:rPr/>
                            </w:pPr>
                            <w:r>
                              <w:rPr/>
                              <w:drawing>
                                <wp:inline distT="0" distB="0" distL="0" distR="0">
                                  <wp:extent cx="5731510" cy="372173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6"/>
                                          <a:stretch>
                                            <a:fillRect/>
                                          </a:stretch>
                                        </pic:blipFill>
                                        <pic:spPr bwMode="auto">
                                          <a:xfrm>
                                            <a:off x="0" y="0"/>
                                            <a:ext cx="5731510" cy="37217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Graph view</w:t>
                            </w:r>
                          </w:p>
                        </w:txbxContent>
                      </wps:txbx>
                      <wps:bodyPr anchor="t" lIns="0" tIns="0" rIns="0" bIns="0">
                        <a:noAutofit/>
                      </wps:bodyPr>
                    </wps:wsp>
                  </a:graphicData>
                </a:graphic>
              </wp:anchor>
            </w:drawing>
          </mc:Choice>
          <mc:Fallback>
            <w:pict>
              <v:rect style="position:absolute;rotation:-0;width:451.3pt;height:320.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731510" cy="372173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7"/>
                                    <a:stretch>
                                      <a:fillRect/>
                                    </a:stretch>
                                  </pic:blipFill>
                                  <pic:spPr bwMode="auto">
                                    <a:xfrm>
                                      <a:off x="0" y="0"/>
                                      <a:ext cx="5731510" cy="37217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Graph view</w:t>
                      </w:r>
                    </w:p>
                  </w:txbxContent>
                </v:textbox>
                <w10:wrap type="square" side="largest"/>
              </v:rect>
            </w:pict>
          </mc:Fallback>
        </mc:AlternateContent>
      </w:r>
    </w:p>
    <w:p>
      <w:pPr>
        <w:pStyle w:val="Normal"/>
        <w:rPr>
          <w:rFonts w:ascii="Montserrat" w:hAnsi="Montserrat"/>
        </w:rPr>
      </w:pPr>
      <w:r>
        <w:rPr>
          <w:rFonts w:ascii="Montserrat" w:hAnsi="Montserrat"/>
        </w:rPr>
      </w:r>
      <w:r>
        <mc:AlternateContent>
          <mc:Choice Requires="wps">
            <w:drawing>
              <wp:anchor distT="0" distB="0" distL="0" distR="0" simplePos="0" relativeHeight="7" behindDoc="0" locked="0" layoutInCell="0" allowOverlap="1">
                <wp:simplePos x="0" y="0"/>
                <wp:positionH relativeFrom="column">
                  <wp:posOffset>-281940</wp:posOffset>
                </wp:positionH>
                <wp:positionV relativeFrom="paragraph">
                  <wp:posOffset>635</wp:posOffset>
                </wp:positionV>
                <wp:extent cx="2867025" cy="8948420"/>
                <wp:effectExtent l="0" t="0" r="0" b="0"/>
                <wp:wrapTopAndBottom/>
                <wp:docPr id="8" name="Frame4"/>
                <a:graphic xmlns:a="http://schemas.openxmlformats.org/drawingml/2006/main">
                  <a:graphicData uri="http://schemas.microsoft.com/office/word/2010/wordprocessingShape">
                    <wps:wsp>
                      <wps:cNvSpPr txBox="1"/>
                      <wps:spPr>
                        <a:xfrm>
                          <a:off x="0" y="0"/>
                          <a:ext cx="2867025" cy="8948420"/>
                        </a:xfrm>
                        <a:prstGeom prst="rect"/>
                        <a:solidFill>
                          <a:srgbClr val="FFFFFF"/>
                        </a:solidFill>
                      </wps:spPr>
                      <wps:txbx>
                        <w:txbxContent>
                          <w:p>
                            <w:pPr>
                              <w:pStyle w:val="Figure"/>
                              <w:spacing w:before="120" w:after="120"/>
                              <w:rPr/>
                            </w:pPr>
                            <w:r>
                              <w:rPr/>
                              <w:drawing>
                                <wp:inline distT="0" distB="0" distL="0" distR="0">
                                  <wp:extent cx="2867025" cy="8401050"/>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8"/>
                                          <a:stretch>
                                            <a:fillRect/>
                                          </a:stretch>
                                        </pic:blipFill>
                                        <pic:spPr bwMode="auto">
                                          <a:xfrm>
                                            <a:off x="0" y="0"/>
                                            <a:ext cx="2867025" cy="840105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Documents parsed and topics generated</w:t>
                            </w:r>
                          </w:p>
                        </w:txbxContent>
                      </wps:txbx>
                      <wps:bodyPr anchor="t" lIns="0" tIns="0" rIns="0" bIns="0">
                        <a:noAutofit/>
                      </wps:bodyPr>
                    </wps:wsp>
                  </a:graphicData>
                </a:graphic>
              </wp:anchor>
            </w:drawing>
          </mc:Choice>
          <mc:Fallback>
            <w:pict>
              <v:rect style="position:absolute;rotation:-0;width:225.75pt;height:704.6pt;mso-wrap-distance-left:0pt;mso-wrap-distance-right:0pt;mso-wrap-distance-top:0pt;mso-wrap-distance-bottom:0pt;margin-top:0pt;mso-position-vertical-relative:text;margin-left:-22.2pt;mso-position-horizontal-relative:text">
                <v:textbox inset="0in,0in,0in,0in">
                  <w:txbxContent>
                    <w:p>
                      <w:pPr>
                        <w:pStyle w:val="Figure"/>
                        <w:spacing w:before="120" w:after="120"/>
                        <w:rPr/>
                      </w:pPr>
                      <w:r>
                        <w:rPr/>
                        <w:drawing>
                          <wp:inline distT="0" distB="0" distL="0" distR="0">
                            <wp:extent cx="2867025" cy="8401050"/>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9"/>
                                    <a:stretch>
                                      <a:fillRect/>
                                    </a:stretch>
                                  </pic:blipFill>
                                  <pic:spPr bwMode="auto">
                                    <a:xfrm>
                                      <a:off x="0" y="0"/>
                                      <a:ext cx="2867025" cy="840105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Documents parsed and topics generated</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column">
                  <wp:posOffset>3054985</wp:posOffset>
                </wp:positionH>
                <wp:positionV relativeFrom="paragraph">
                  <wp:posOffset>-74295</wp:posOffset>
                </wp:positionV>
                <wp:extent cx="3114675" cy="8736330"/>
                <wp:effectExtent l="0" t="0" r="0" b="0"/>
                <wp:wrapSquare wrapText="largest"/>
                <wp:docPr id="11" name="Frame5"/>
                <a:graphic xmlns:a="http://schemas.openxmlformats.org/drawingml/2006/main">
                  <a:graphicData uri="http://schemas.microsoft.com/office/word/2010/wordprocessingShape">
                    <wps:wsp>
                      <wps:cNvSpPr txBox="1"/>
                      <wps:spPr>
                        <a:xfrm>
                          <a:off x="0" y="0"/>
                          <a:ext cx="3114675" cy="8736330"/>
                        </a:xfrm>
                        <a:prstGeom prst="rect"/>
                        <a:solidFill>
                          <a:srgbClr val="FFFFFF"/>
                        </a:solidFill>
                      </wps:spPr>
                      <wps:txbx>
                        <w:txbxContent>
                          <w:p>
                            <w:pPr>
                              <w:pStyle w:val="Figure"/>
                              <w:spacing w:before="120" w:after="120"/>
                              <w:rPr/>
                            </w:pPr>
                            <w:r>
                              <w:rPr/>
                              <w:drawing>
                                <wp:inline distT="0" distB="0" distL="0" distR="0">
                                  <wp:extent cx="3114675" cy="8386445"/>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0"/>
                                          <a:stretch>
                                            <a:fillRect/>
                                          </a:stretch>
                                        </pic:blipFill>
                                        <pic:spPr bwMode="auto">
                                          <a:xfrm>
                                            <a:off x="0" y="0"/>
                                            <a:ext cx="3114675" cy="838644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List of all topics</w:t>
                            </w:r>
                          </w:p>
                        </w:txbxContent>
                      </wps:txbx>
                      <wps:bodyPr anchor="t" lIns="0" tIns="0" rIns="0" bIns="0">
                        <a:noAutofit/>
                      </wps:bodyPr>
                    </wps:wsp>
                  </a:graphicData>
                </a:graphic>
              </wp:anchor>
            </w:drawing>
          </mc:Choice>
          <mc:Fallback>
            <w:pict>
              <v:rect style="position:absolute;rotation:-0;width:245.25pt;height:687.9pt;mso-wrap-distance-left:0pt;mso-wrap-distance-right:0pt;mso-wrap-distance-top:0pt;mso-wrap-distance-bottom:0pt;margin-top:-5.85pt;mso-position-vertical-relative:text;margin-left:240.55pt;mso-position-horizontal-relative:text">
                <v:textbox inset="0in,0in,0in,0in">
                  <w:txbxContent>
                    <w:p>
                      <w:pPr>
                        <w:pStyle w:val="Figure"/>
                        <w:spacing w:before="120" w:after="120"/>
                        <w:rPr/>
                      </w:pPr>
                      <w:r>
                        <w:rPr/>
                        <w:drawing>
                          <wp:inline distT="0" distB="0" distL="0" distR="0">
                            <wp:extent cx="3114675" cy="8386445"/>
                            <wp:effectExtent l="0" t="0" r="0" b="0"/>
                            <wp:docPr id="1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11"/>
                                    <a:stretch>
                                      <a:fillRect/>
                                    </a:stretch>
                                  </pic:blipFill>
                                  <pic:spPr bwMode="auto">
                                    <a:xfrm>
                                      <a:off x="0" y="0"/>
                                      <a:ext cx="3114675" cy="838644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List of all topics</w:t>
                      </w:r>
                    </w:p>
                  </w:txbxContent>
                </v:textbox>
                <w10:wrap type="square" side="largest"/>
              </v:rect>
            </w:pict>
          </mc:Fallback>
        </mc:AlternateContent>
      </w:r>
    </w:p>
    <w:p>
      <w:pPr>
        <w:pStyle w:val="Heading2"/>
        <w:rPr/>
      </w:pPr>
      <w:r>
        <w:rPr>
          <w:rFonts w:ascii="Montserrat" w:hAnsi="Montserrat"/>
        </w:rPr>
        <w:t xml:space="preserve">Appendix </w:t>
      </w:r>
      <w:r>
        <w:rPr>
          <w:rFonts w:ascii="Montserrat" w:hAnsi="Montserrat"/>
        </w:rPr>
        <w:t>II</w:t>
      </w:r>
      <w:r>
        <w:rPr>
          <w:rFonts w:ascii="Montserrat" w:hAnsi="Montserrat"/>
        </w:rPr>
        <w:t>: Source Code</w:t>
      </w:r>
    </w:p>
    <w:p>
      <w:pPr>
        <w:pStyle w:val="Normal"/>
        <w:rPr>
          <w:rFonts w:ascii="Montserrat" w:hAnsi="Montserrat"/>
        </w:rPr>
      </w:pPr>
      <w:r>
        <w:rPr>
          <w:rFonts w:ascii="Montserrat" w:hAnsi="Montserrat"/>
        </w:rPr>
      </w:r>
    </w:p>
    <w:p>
      <w:pPr>
        <w:pStyle w:val="Normal"/>
        <w:rPr>
          <w:rFonts w:ascii="Montserrat" w:hAnsi="Montserrat"/>
        </w:rPr>
      </w:pPr>
      <w:r>
        <w:rPr>
          <w:rFonts w:ascii="Montserrat" w:hAnsi="Montserrat"/>
        </w:rPr>
        <w:t>The complete source code is available on the project github:</w:t>
      </w:r>
    </w:p>
    <w:p>
      <w:pPr>
        <w:pStyle w:val="Normal"/>
        <w:rPr/>
      </w:pPr>
      <w:hyperlink r:id="rId12">
        <w:r>
          <w:rPr>
            <w:rStyle w:val="Hyperlink"/>
            <w:rFonts w:ascii="Montserrat" w:hAnsi="Montserrat"/>
          </w:rPr>
          <w:t>https://github.com/kreativethinker/semlink.git</w:t>
        </w:r>
      </w:hyperlink>
    </w:p>
    <w:p>
      <w:pPr>
        <w:pStyle w:val="Normal"/>
        <w:rPr>
          <w:rFonts w:ascii="Montserrat" w:hAnsi="Montserrat"/>
        </w:rPr>
      </w:pPr>
      <w:r>
        <w:rPr>
          <w:rFonts w:ascii="Montserrat" w:hAnsi="Montserrat"/>
        </w:rPr>
      </w:r>
    </w:p>
    <w:p>
      <w:pPr>
        <w:pStyle w:val="Heading3"/>
        <w:rPr>
          <w:rFonts w:ascii="Montserrat" w:hAnsi="Montserrat"/>
        </w:rPr>
      </w:pPr>
      <w:r>
        <w:rPr>
          <w:rFonts w:ascii="Montserrat" w:hAnsi="Montserrat"/>
        </w:rPr>
        <w:t>Project Structure</w:t>
      </w:r>
    </w:p>
    <w:p>
      <w:pPr>
        <w:pStyle w:val="PreformattedText"/>
        <w:rPr/>
      </w:pPr>
      <w:r>
        <w:rPr/>
        <w:t>SemLink/</w:t>
        <w:br/>
        <w:t>├── src/semlink/</w:t>
        <w:br/>
        <w:t>│   ├── core/</w:t>
        <w:br/>
        <w:t>│   │   ├── ingest.py         # Note discovery &amp; preprocessing</w:t>
        <w:br/>
        <w:t xml:space="preserve">│   │   ├── tfidf.py         # TF-IDF embeddings  </w:t>
        <w:br/>
        <w:t>│   │   ├── embeddings.py    # SBERT &amp; OpenAI embeddings</w:t>
        <w:br/>
        <w:t>│   │   ├── linker.py        # Link inference strategies</w:t>
        <w:br/>
        <w:t>│   │   ├── graph.py         # NetworkX graph building</w:t>
        <w:br/>
        <w:t>│   │   ├── analysis.py      # Metrics, community detection</w:t>
        <w:br/>
        <w:t>│   │   ├── aggregate.py    # Topic aggregation</w:t>
        <w:br/>
        <w:t>│   │   ├── topic_llm.py    # LLM topic generation</w:t>
        <w:br/>
        <w:t>│   │   ├── visualize.py    # Export options</w:t>
        <w:br/>
        <w:t>│   │   ├── storage.py      # SQLite persistence</w:t>
        <w:br/>
        <w:t>│   │   └── evaluate.py     # Method comparison</w:t>
        <w:br/>
        <w:t>│   ├── server.py          # FastAPI backend</w:t>
        <w:br/>
        <w:t>│   └── cli.py             # Typer CLI</w:t>
        <w:br/>
        <w:t>├── frontend/              # React + D3.js web interface</w:t>
        <w:br/>
        <w:t>├── pyproject.toml</w:t>
        <w:br/>
        <w:t>├── README.md</w:t>
        <w:br/>
        <w:t>└── report.md</w:t>
      </w:r>
    </w:p>
    <w:p>
      <w:pPr>
        <w:pStyle w:val="Heading3"/>
        <w:rPr>
          <w:rFonts w:ascii="Montserrat" w:hAnsi="Montserrat"/>
        </w:rPr>
      </w:pPr>
      <w:r>
        <w:rPr>
          <w:rFonts w:ascii="Montserrat" w:hAnsi="Montserrat"/>
        </w:rPr>
        <w:t>Key Dependencies</w:t>
      </w:r>
    </w:p>
    <w:p>
      <w:pPr>
        <w:pStyle w:val="PreformattedText"/>
        <w:rPr/>
      </w:pPr>
      <w:r>
        <w:rPr/>
        <w:t>dependencies = [</w:t>
        <w:br/>
        <w:t xml:space="preserve">    "rich&gt;=14.0.0",</w:t>
        <w:br/>
        <w:t xml:space="preserve">    "typer&gt;=0.15.0",</w:t>
        <w:br/>
        <w:t xml:space="preserve">    "markdown-it-py&gt;=3.0.0",</w:t>
        <w:br/>
        <w:t xml:space="preserve">    "pypdf&gt;=4.2.0",</w:t>
        <w:br/>
        <w:t xml:space="preserve">    "python-docx&gt;=1.1.0",</w:t>
        <w:br/>
        <w:t xml:space="preserve">    "scikit-learn&gt;=1.5.0",</w:t>
        <w:br/>
        <w:t xml:space="preserve">    "numpy&gt;=2.0.0",</w:t>
        <w:br/>
        <w:t xml:space="preserve">    "networkx&gt;=3.3",</w:t>
        <w:br/>
        <w:t xml:space="preserve">    "orjson&gt;=3.10.0",</w:t>
        <w:br/>
        <w:t xml:space="preserve">    "uvicorn&gt;=0.41.0",</w:t>
        <w:br/>
        <w:t xml:space="preserve">    "fastapi&gt;=0.135.1",</w:t>
        <w:br/>
        <w:t xml:space="preserve">    "openai&gt;=2.24.0",</w:t>
        <w:br/>
        <w:t>]</w:t>
      </w:r>
    </w:p>
    <w:p>
      <w:pPr>
        <w:pStyle w:val="Heading3"/>
        <w:rPr>
          <w:rFonts w:ascii="Montserrat" w:hAnsi="Montserrat"/>
        </w:rPr>
      </w:pPr>
      <w:r>
        <w:rPr>
          <w:rFonts w:ascii="Montserrat" w:hAnsi="Montserrat"/>
        </w:rPr>
        <w:t>Installation</w:t>
      </w:r>
    </w:p>
    <w:p>
      <w:pPr>
        <w:pStyle w:val="PreformattedText"/>
        <w:rPr/>
      </w:pPr>
      <w:r>
        <w:rPr/>
        <w:t># Full installation</w:t>
        <w:br/>
        <w:t>pip install semlink[all]</w:t>
        <w:br/>
        <w:br/>
        <w:t># Or from source</w:t>
        <w:br/>
        <w:t>git clone https://github.com/KreativeThinker/SemLink.git</w:t>
        <w:br/>
        <w:t>cd SemLink</w:t>
        <w:br/>
        <w:t>uv sync</w:t>
      </w:r>
    </w:p>
    <w:p>
      <w:pPr>
        <w:pStyle w:val="Heading3"/>
        <w:rPr>
          <w:rFonts w:ascii="Montserrat" w:hAnsi="Montserrat"/>
        </w:rPr>
      </w:pPr>
      <w:r>
        <w:rPr>
          <w:rFonts w:ascii="Montserrat" w:hAnsi="Montserrat"/>
        </w:rPr>
        <w:t>Usage Examples</w:t>
      </w:r>
    </w:p>
    <w:p>
      <w:pPr>
        <w:pStyle w:val="PreformattedText"/>
        <w:spacing w:before="0" w:after="283"/>
        <w:rPr/>
      </w:pPr>
      <w:r>
        <w:rPr/>
        <w:t># Full pipeline with OpenAI embeddings and LLM topic generation</w:t>
        <w:br/>
        <w:t>semlink run ./vault --method openai --topic-method llm</w:t>
        <w:br/>
        <w:br/>
        <w:t># Topic aggregation with LLM labels</w:t>
        <w:br/>
        <w:t>semlink aggregate graph.json --notes notes.json --topic-method llm</w:t>
        <w:br/>
        <w:br/>
        <w:t># Web interface</w:t>
        <w:br/>
        <w:t>semlink serve --db .semlink.db</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Montserrat">
    <w:charset w:val="01" w:characterSet="utf-8"/>
    <w:family w:val="roman"/>
    <w:pitch w:val="variable"/>
  </w:font>
  <w:font w:name="JetBrainsMonoNL NFM SemiBold">
    <w:charset w:val="01" w:characterSet="utf-8"/>
    <w:family w:val="roman"/>
    <w:pitch w:val="variable"/>
  </w:font>
  <w:font w:name="Adwaita Sans">
    <w:charset w:val="01" w:characterSet="utf-8"/>
    <w:family w:val="swiss"/>
    <w:pitch w:val="variable"/>
  </w:font>
  <w:font w:name="Montserrat">
    <w:charset w:val="01"/>
    <w:family w:val="auto"/>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lang w:val="en-IN" w:eastAsia="en-US" w:bidi="hi-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0"/>
      <w:lang w:val="en-IN" w:eastAsia="en-US" w:bidi="hi-IN"/>
      <w14:ligatures w14:val="standardContextual"/>
    </w:rPr>
  </w:style>
  <w:style w:type="paragraph" w:styleId="Heading1">
    <w:name w:val="heading 1"/>
    <w:basedOn w:val="Normal"/>
    <w:next w:val="Normal"/>
    <w:link w:val="Heading1Char"/>
    <w:uiPriority w:val="9"/>
    <w:qFormat/>
    <w:rsid w:val="00fc21f5"/>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36"/>
    </w:rPr>
  </w:style>
  <w:style w:type="paragraph" w:styleId="Heading2">
    <w:name w:val="heading 2"/>
    <w:basedOn w:val="Normal"/>
    <w:next w:val="Normal"/>
    <w:link w:val="Heading2Char"/>
    <w:uiPriority w:val="9"/>
    <w:semiHidden/>
    <w:unhideWhenUsed/>
    <w:qFormat/>
    <w:rsid w:val="00fc21f5"/>
    <w:pPr>
      <w:keepNext w:val="true"/>
      <w:keepLines/>
      <w:spacing w:before="0" w:after="80"/>
      <w:outlineLvl w:val="1"/>
    </w:pPr>
    <w:rPr>
      <w:rFonts w:ascii="Calibri Light" w:hAnsi="Calibri Light" w:eastAsia="" w:cs="" w:asciiTheme="majorHAnsi" w:cstheme="majorBidi" w:eastAsiaTheme="majorEastAsia" w:hAnsiTheme="majorHAnsi"/>
      <w:color w:themeColor="accent1" w:themeShade="bf" w:val="2F5496"/>
      <w:sz w:val="32"/>
      <w:szCs w:val="29"/>
    </w:rPr>
  </w:style>
  <w:style w:type="paragraph" w:styleId="Heading3">
    <w:name w:val="heading 3"/>
    <w:basedOn w:val="Normal"/>
    <w:next w:val="Normal"/>
    <w:link w:val="Heading3Char"/>
    <w:uiPriority w:val="9"/>
    <w:semiHidden/>
    <w:unhideWhenUsed/>
    <w:qFormat/>
    <w:rsid w:val="00fc21f5"/>
    <w:pPr>
      <w:keepNext w:val="true"/>
      <w:keepLines/>
      <w:spacing w:before="160" w:after="80"/>
      <w:outlineLvl w:val="2"/>
    </w:pPr>
    <w:rPr>
      <w:rFonts w:eastAsia="" w:cs="" w:cstheme="majorBidi" w:eastAsiaTheme="majorEastAsia"/>
      <w:color w:themeColor="accent1" w:themeShade="bf" w:val="2F5496"/>
      <w:sz w:val="28"/>
      <w:szCs w:val="25"/>
    </w:rPr>
  </w:style>
  <w:style w:type="paragraph" w:styleId="Heading4">
    <w:name w:val="heading 4"/>
    <w:basedOn w:val="Normal"/>
    <w:next w:val="Normal"/>
    <w:link w:val="Heading4Char"/>
    <w:uiPriority w:val="9"/>
    <w:semiHidden/>
    <w:unhideWhenUsed/>
    <w:qFormat/>
    <w:rsid w:val="00fc21f5"/>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fc21f5"/>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fc21f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c21f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c21f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c21f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c21f5"/>
    <w:rPr>
      <w:rFonts w:ascii="Calibri Light" w:hAnsi="Calibri Light" w:eastAsia="" w:cs="" w:asciiTheme="majorHAnsi" w:cstheme="majorBidi" w:eastAsiaTheme="majorEastAsia" w:hAnsiTheme="majorHAnsi"/>
      <w:color w:themeColor="accent1" w:themeShade="bf" w:val="2F5496"/>
      <w:sz w:val="40"/>
      <w:szCs w:val="36"/>
    </w:rPr>
  </w:style>
  <w:style w:type="character" w:styleId="Heading2Char" w:customStyle="1">
    <w:name w:val="Heading 2 Char"/>
    <w:basedOn w:val="DefaultParagraphFont"/>
    <w:link w:val="Heading2"/>
    <w:uiPriority w:val="9"/>
    <w:semiHidden/>
    <w:qFormat/>
    <w:rsid w:val="00fc21f5"/>
    <w:rPr>
      <w:rFonts w:ascii="Calibri Light" w:hAnsi="Calibri Light" w:eastAsia="" w:cs="" w:asciiTheme="majorHAnsi" w:cstheme="majorBidi" w:eastAsiaTheme="majorEastAsia" w:hAnsiTheme="majorHAnsi"/>
      <w:color w:themeColor="accent1" w:themeShade="bf" w:val="2F5496"/>
      <w:sz w:val="32"/>
      <w:szCs w:val="29"/>
    </w:rPr>
  </w:style>
  <w:style w:type="character" w:styleId="Heading3Char" w:customStyle="1">
    <w:name w:val="Heading 3 Char"/>
    <w:basedOn w:val="DefaultParagraphFont"/>
    <w:link w:val="Heading3"/>
    <w:uiPriority w:val="9"/>
    <w:semiHidden/>
    <w:qFormat/>
    <w:rsid w:val="00fc21f5"/>
    <w:rPr>
      <w:rFonts w:eastAsia="" w:cs="" w:cstheme="majorBidi" w:eastAsiaTheme="majorEastAsia"/>
      <w:color w:themeColor="accent1" w:themeShade="bf" w:val="2F5496"/>
      <w:sz w:val="28"/>
      <w:szCs w:val="25"/>
    </w:rPr>
  </w:style>
  <w:style w:type="character" w:styleId="Heading4Char" w:customStyle="1">
    <w:name w:val="Heading 4 Char"/>
    <w:basedOn w:val="DefaultParagraphFont"/>
    <w:link w:val="Heading4"/>
    <w:uiPriority w:val="9"/>
    <w:semiHidden/>
    <w:qFormat/>
    <w:rsid w:val="00fc21f5"/>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fc21f5"/>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fc21f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c21f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c21f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c21f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c21f5"/>
    <w:rPr>
      <w:rFonts w:ascii="Calibri Light" w:hAnsi="Calibri Light" w:eastAsia="" w:cs="" w:asciiTheme="majorHAnsi" w:cstheme="majorBidi" w:eastAsiaTheme="majorEastAsia" w:hAnsiTheme="majorHAnsi"/>
      <w:spacing w:val="-10"/>
      <w:kern w:val="2"/>
      <w:sz w:val="56"/>
      <w:szCs w:val="50"/>
    </w:rPr>
  </w:style>
  <w:style w:type="character" w:styleId="SubtitleChar" w:customStyle="1">
    <w:name w:val="Subtitle Char"/>
    <w:basedOn w:val="DefaultParagraphFont"/>
    <w:link w:val="Subtitle"/>
    <w:uiPriority w:val="11"/>
    <w:qFormat/>
    <w:rsid w:val="00fc21f5"/>
    <w:rPr>
      <w:rFonts w:eastAsia="" w:cs="" w:cstheme="majorBidi" w:eastAsiaTheme="majorEastAsia"/>
      <w:color w:themeColor="text1" w:themeTint="a6" w:val="595959"/>
      <w:spacing w:val="15"/>
      <w:sz w:val="28"/>
      <w:szCs w:val="25"/>
    </w:rPr>
  </w:style>
  <w:style w:type="character" w:styleId="QuoteChar" w:customStyle="1">
    <w:name w:val="Quote Char"/>
    <w:basedOn w:val="DefaultParagraphFont"/>
    <w:link w:val="Quote"/>
    <w:uiPriority w:val="29"/>
    <w:qFormat/>
    <w:rsid w:val="00fc21f5"/>
    <w:rPr>
      <w:i/>
      <w:iCs/>
      <w:color w:themeColor="text1" w:themeTint="bf" w:val="404040"/>
    </w:rPr>
  </w:style>
  <w:style w:type="character" w:styleId="IntenseEmphasis">
    <w:name w:val="Intense Emphasis"/>
    <w:basedOn w:val="DefaultParagraphFont"/>
    <w:uiPriority w:val="21"/>
    <w:qFormat/>
    <w:rsid w:val="00fc21f5"/>
    <w:rPr>
      <w:i/>
      <w:iCs/>
      <w:color w:themeColor="accent1" w:themeShade="bf" w:val="2F5496"/>
    </w:rPr>
  </w:style>
  <w:style w:type="character" w:styleId="IntenseQuoteChar" w:customStyle="1">
    <w:name w:val="Intense Quote Char"/>
    <w:basedOn w:val="DefaultParagraphFont"/>
    <w:link w:val="IntenseQuote"/>
    <w:uiPriority w:val="30"/>
    <w:qFormat/>
    <w:rsid w:val="00fc21f5"/>
    <w:rPr>
      <w:i/>
      <w:iCs/>
      <w:color w:themeColor="accent1" w:themeShade="bf" w:val="2F5496"/>
    </w:rPr>
  </w:style>
  <w:style w:type="character" w:styleId="IntenseReference">
    <w:name w:val="Intense Reference"/>
    <w:basedOn w:val="DefaultParagraphFont"/>
    <w:uiPriority w:val="32"/>
    <w:qFormat/>
    <w:rsid w:val="00fc21f5"/>
    <w:rPr>
      <w:b/>
      <w:bCs/>
      <w:smallCaps/>
      <w:color w:themeColor="accent1" w:themeShade="bf" w:val="2F5496"/>
      <w:spacing w:val="5"/>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pPr>
      <w:spacing w:lineRule="auto" w:line="276" w:before="0" w:after="140"/>
    </w:pPr>
    <w:rPr>
      <w:rFonts w:ascii="Montserrat" w:hAnsi="Montserrat"/>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fc21f5"/>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0"/>
    </w:rPr>
  </w:style>
  <w:style w:type="paragraph" w:styleId="Subtitle">
    <w:name w:val="Subtitle"/>
    <w:basedOn w:val="Normal"/>
    <w:next w:val="Normal"/>
    <w:link w:val="SubtitleChar"/>
    <w:uiPriority w:val="11"/>
    <w:qFormat/>
    <w:rsid w:val="00fc21f5"/>
    <w:pPr/>
    <w:rPr>
      <w:rFonts w:eastAsia="" w:cs="" w:cstheme="majorBidi" w:eastAsiaTheme="majorEastAsia"/>
      <w:color w:themeColor="text1" w:themeTint="a6" w:val="595959"/>
      <w:spacing w:val="15"/>
      <w:sz w:val="28"/>
      <w:szCs w:val="25"/>
    </w:rPr>
  </w:style>
  <w:style w:type="paragraph" w:styleId="Quote">
    <w:name w:val="Quote"/>
    <w:basedOn w:val="Normal"/>
    <w:next w:val="Normal"/>
    <w:link w:val="QuoteChar"/>
    <w:uiPriority w:val="29"/>
    <w:qFormat/>
    <w:rsid w:val="00fc21f5"/>
    <w:pPr>
      <w:spacing w:before="160" w:after="160"/>
      <w:jc w:val="center"/>
    </w:pPr>
    <w:rPr>
      <w:i/>
      <w:iCs/>
      <w:color w:themeColor="text1" w:themeTint="bf" w:val="404040"/>
    </w:rPr>
  </w:style>
  <w:style w:type="paragraph" w:styleId="ListParagraph">
    <w:name w:val="List Paragraph"/>
    <w:basedOn w:val="Normal"/>
    <w:uiPriority w:val="34"/>
    <w:qFormat/>
    <w:rsid w:val="00fc21f5"/>
    <w:pPr>
      <w:spacing w:before="0" w:after="160"/>
      <w:ind w:start="720"/>
      <w:contextualSpacing/>
    </w:pPr>
    <w:rPr/>
  </w:style>
  <w:style w:type="paragraph" w:styleId="IntenseQuote">
    <w:name w:val="Intense Quote"/>
    <w:basedOn w:val="Normal"/>
    <w:next w:val="Normal"/>
    <w:link w:val="IntenseQuoteChar"/>
    <w:uiPriority w:val="30"/>
    <w:qFormat/>
    <w:rsid w:val="00fc21f5"/>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PreformattedText">
    <w:name w:val="Preformatted Text"/>
    <w:basedOn w:val="Normal"/>
    <w:qFormat/>
    <w:pPr>
      <w:shd w:val="clear" w:fill="E1E1E1"/>
      <w:spacing w:before="0" w:after="283"/>
    </w:pPr>
    <w:rPr>
      <w:rFonts w:ascii="JetBrainsMonoNL NFM SemiBold" w:hAnsi="JetBrainsMonoNL NFM SemiBold"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en.wikipedia.org/wiki/link" TargetMode="External"/><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hyperlink" Target="https://github.com/kreativethinker/semlink.git"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TotalTime>
  <Application>LibreOffice/26.2.2.2$Linux_X86_64 LibreOffice_project/620$Build-2</Application>
  <AppVersion>15.0000</AppVersion>
  <Pages>16</Pages>
  <Words>2329</Words>
  <Characters>15066</Characters>
  <CharactersWithSpaces>17254</CharactersWithSpaces>
  <Paragraphs>284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2026-04-14T15:56:00Z</dcterms:created>
  <dc:creator>Kanishq Tiwari</dc:creator>
  <dc:description/>
  <dc:language>en-US</dc:language>
  <cp:lastModifiedBy/>
  <cp:lastPrinted>2026-04-15T04:18:16Z</cp:lastPrinted>
  <dcterms:modified xsi:type="dcterms:W3CDTF">2026-04-15T05:03:16Z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