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Обработка результатов</w:t>
      </w:r>
    </w:p>
    <w:p>
      <w:pPr>
        <w:pStyle w:val="BodyText"/>
      </w:pPr>
      <w:r>
        <w:t xml:space="preserve">В расчётах использованы значения, измеренные LCR-метром на частоте 1,5 кГц: L = 99,95 мГн — индуктивность магазина, R</w:t>
      </w:r>
      <w:r>
        <w:rPr>
          <w:vertAlign w:val="subscript"/>
        </w:rPr>
        <w:t xml:space="preserve">L</w:t>
      </w:r>
      <w:r>
        <w:t xml:space="preserve"> </w:t>
      </w:r>
      <w:r>
        <w:t xml:space="preserve">= 22,8 Ом — его активное сопротивление.</w:t>
      </w:r>
    </w:p>
    <w:p>
      <w:pPr>
        <w:pStyle w:val="BodyText"/>
      </w:pPr>
      <w:r>
        <w:rPr>
          <w:bCs/>
          <w:b/>
        </w:rPr>
        <w:t xml:space="preserve">1. Период свободных колебаний и собственная ёмкость контура</w:t>
      </w:r>
    </w:p>
    <w:p>
      <w:pPr>
        <w:pStyle w:val="BodyText"/>
      </w:pPr>
      <w:r>
        <w:t xml:space="preserve">При C = 0 контур колеблется за счёт собственной ёмкости C</w:t>
      </w:r>
      <w:r>
        <w:rPr>
          <w:vertAlign w:val="subscript"/>
        </w:rPr>
        <w:t xml:space="preserve">0</w:t>
      </w:r>
      <w:r>
        <w:t xml:space="preserve"> </w:t>
      </w:r>
      <w:r>
        <w:t xml:space="preserve">(монтаж, соединительная коробка, вход осциллографа). Её находим по периоду T</w:t>
      </w:r>
      <w:r>
        <w:rPr>
          <w:vertAlign w:val="subscript"/>
        </w:rPr>
        <w:t xml:space="preserve">0</w:t>
      </w:r>
      <w:r>
        <w:t xml:space="preserve"> </w:t>
      </w:r>
      <w:r>
        <w:t xml:space="preserve">= 64,8 мкс, измеренному при C = 0: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06</m:t>
          </m:r>
          <m:r>
            <m:rPr>
              <m:nor/>
              <m:sty m:val="p"/>
            </m:rPr>
            <m:t>нФ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Затухание при R = 0 мало, поэтому разницей между периодом затухающих колебаний и T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пренебрегаем. Теоретический период считается с учётом C</w:t>
      </w:r>
      <w:r>
        <w:rPr>
          <w:vertAlign w:val="subscript"/>
        </w:rPr>
        <w:t xml:space="preserve">0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r>
                <m:t>L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C — ёмкость, выставленная на магазине.</w:t>
      </w:r>
    </w:p>
    <w:p>
      <w:pPr>
        <w:pStyle w:val="BodyText"/>
      </w:pPr>
      <w:r>
        <w:rPr>
          <w:bCs/>
          <w:b/>
        </w:rPr>
        <w:t xml:space="preserve">Таблица 7. Экспериментальный и теоретический периоды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C, мкФ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  <w:r>
              <w:rPr>
                <w:vertAlign w:val="subscript"/>
              </w:rPr>
              <w:t xml:space="preserve">эксп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  <w:r>
              <w:rPr>
                <w:vertAlign w:val="subscript"/>
              </w:rPr>
              <w:t xml:space="preserve">теор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расхождение,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</w:t>
            </w:r>
          </w:p>
        </w:tc>
      </w:tr>
    </w:tbl>
    <w:p>
      <w:pPr>
        <w:pStyle w:val="BodyText"/>
      </w:pPr>
      <w:r>
        <w:drawing>
          <wp:inline>
            <wp:extent cx="4572000" cy="3048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Зависимость T</w:t>
      </w:r>
      <w:r>
        <w:rPr>
          <w:vertAlign w:val="subscript"/>
        </w:rPr>
        <w:t xml:space="preserve">эксп</w:t>
      </w:r>
      <w:r>
        <w:t xml:space="preserve">(T</w:t>
      </w:r>
      <w:r>
        <w:rPr>
          <w:vertAlign w:val="subscript"/>
        </w:rPr>
        <w:t xml:space="preserve">теор</w:t>
      </w:r>
      <w:r>
        <w:t xml:space="preserve">)</w:t>
      </w:r>
    </w:p>
    <w:p>
      <w:pPr>
        <w:pStyle w:val="BodyText"/>
      </w:pPr>
      <w:r>
        <w:t xml:space="preserve">Погрешность отсчёта периода курсорами оценена в Δ T ≈ 2 мкс. Угловой коэффициент прямой T</w:t>
      </w:r>
      <w:r>
        <w:rPr>
          <w:vertAlign w:val="subscript"/>
        </w:rPr>
        <w:t xml:space="preserve">эксп</w:t>
      </w:r>
      <w:r>
        <w:t xml:space="preserve">(T</w:t>
      </w:r>
      <w:r>
        <w:rPr>
          <w:vertAlign w:val="subscript"/>
        </w:rPr>
        <w:t xml:space="preserve">теор</w:t>
      </w:r>
      <w:r>
        <w:t xml:space="preserve">) по МНК равен 1,008 ± 0,008, все точки лежат на прямой T</w:t>
      </w:r>
      <w:r>
        <w:rPr>
          <w:vertAlign w:val="subscript"/>
        </w:rPr>
        <w:t xml:space="preserve">эксп</w:t>
      </w:r>
      <w:r>
        <w:t xml:space="preserve"> </w:t>
      </w:r>
      <w:r>
        <w:t xml:space="preserve">= T</w:t>
      </w:r>
      <w:r>
        <w:rPr>
          <w:vertAlign w:val="subscript"/>
        </w:rPr>
        <w:t xml:space="preserve">теор</w:t>
      </w:r>
      <w:r>
        <w:t xml:space="preserve"> </w:t>
      </w:r>
      <w:r>
        <w:t xml:space="preserve">в пределах погрешности. Независимая проверка: аппроксимация T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4π</w:t>
      </w:r>
      <w:r>
        <w:rPr>
          <w:vertAlign w:val="superscript"/>
        </w:rPr>
        <w:t xml:space="preserve">2</w:t>
      </w:r>
      <w:r>
        <w:t xml:space="preserve"> </w:t>
      </w:r>
      <w:r>
        <w:t xml:space="preserve">L,(C + C</w:t>
      </w:r>
      <w:r>
        <w:rPr>
          <w:vertAlign w:val="subscript"/>
        </w:rPr>
        <w:t xml:space="preserve">0</w:t>
      </w:r>
      <w:r>
        <w:t xml:space="preserve">) по всем точкам даёт L = 101,1 ± 0,9 мГн и C</w:t>
      </w:r>
      <w:r>
        <w:rPr>
          <w:vertAlign w:val="subscript"/>
        </w:rPr>
        <w:t xml:space="preserve">0</w:t>
      </w:r>
      <w:r>
        <w:t xml:space="preserve"> </w:t>
      </w:r>
      <w:r>
        <w:t xml:space="preserve">= 1,06 нФ. Это совпадает с показанием LCR-метра с точностью около 1 %.</w:t>
      </w:r>
    </w:p>
    <w:p>
      <w:pPr>
        <w:pStyle w:val="BodyText"/>
      </w:pPr>
      <w:r>
        <w:t xml:space="preserve">Полная ёмкость контура в остальных опытах: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м</m:t>
              </m:r>
              <m:r>
                <m:t>а</m:t>
              </m:r>
              <m:r>
                <m:t>г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76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06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82</m:t>
          </m:r>
          <m:r>
            <m:rPr>
              <m:nor/>
              <m:sty m:val="p"/>
            </m:rPr>
            <m:t>нФ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C</w:t>
      </w:r>
      <w:r>
        <w:rPr>
          <w:vertAlign w:val="subscript"/>
        </w:rPr>
        <w:t xml:space="preserve">маг</w:t>
      </w:r>
      <w:r>
        <w:t xml:space="preserve"> </w:t>
      </w:r>
      <w:r>
        <w:t xml:space="preserve">— ёмкость на магазине, выставленная по расчёту на ν</w:t>
      </w:r>
      <w:r>
        <w:rPr>
          <w:vertAlign w:val="subscript"/>
        </w:rPr>
        <w:t xml:space="preserve">0</w:t>
      </w:r>
      <w:r>
        <w:t xml:space="preserve"> </w:t>
      </w:r>
      <w:r>
        <w:t xml:space="preserve">= 6,5 кГц. Волновое сопротивление контура: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L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Σ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83</m:t>
          </m:r>
          <m:r>
            <m:rPr>
              <m:nor/>
              <m:sty m:val="p"/>
            </m:rPr>
            <m:t>кОм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2. Логарифмический декремент и критическое сопротивление</w:t>
      </w:r>
    </w:p>
    <w:p>
      <w:pPr>
        <w:pStyle w:val="BodyText"/>
      </w:pPr>
      <w:r>
        <w:t xml:space="preserve">Первый курсор во всех опытах стоит на первом максимуме после импульса: сам импульс генератора искажён и в отсчёт не входит. Второй курсор стоял на 3-м, 4-м или 5-м максимуме, отсюда n = 2, 3 или 4. Декремент: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</w:t>
      </w:r>
      <w:r>
        <w:rPr>
          <w:vertAlign w:val="subscript"/>
        </w:rPr>
        <w:t xml:space="preserve">m</w:t>
      </w:r>
      <w:r>
        <w:t xml:space="preserve"> </w:t>
      </w:r>
      <w:r>
        <w:t xml:space="preserve">— первый максимум после импульса, U</w:t>
      </w:r>
      <w:r>
        <w:rPr>
          <w:vertAlign w:val="subscript"/>
        </w:rPr>
        <w:t xml:space="preserve">m+n</w:t>
      </w:r>
      <w:r>
        <w:t xml:space="preserve"> </w:t>
      </w:r>
      <w:r>
        <w:t xml:space="preserve">— максимум через n периодов. Полное сопротивление контура R</w:t>
      </w:r>
      <w:r>
        <w:rPr>
          <w:vertAlign w:val="subscript"/>
        </w:rPr>
        <w:t xml:space="preserve">Σ</w:t>
      </w:r>
      <w:r>
        <w:t xml:space="preserve"> </w:t>
      </w:r>
      <w:r>
        <w:t xml:space="preserve">= R + R</w:t>
      </w:r>
      <w:r>
        <w:rPr>
          <w:vertAlign w:val="subscript"/>
        </w:rPr>
        <w:t xml:space="preserve">L</w:t>
      </w:r>
      <w:r>
        <w:t xml:space="preserve">, где R — сопротивление магазина. Погрешность отсчёта амплитуды принята равной разрешению АЦП осциллографа, Δ U = 8 мВ.</w:t>
      </w:r>
    </w:p>
    <w:p>
      <w:pPr>
        <w:pStyle w:val="BodyText"/>
      </w:pPr>
      <w:r>
        <w:rPr>
          <w:bCs/>
          <w:b/>
        </w:rPr>
        <w:t xml:space="preserve">Таблица 8. Декремент затухания по осциллограммам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R,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Σ</w:t>
            </w:r>
            <w:r>
              <w:t xml:space="preserve">, 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  <w:r>
              <w:rPr>
                <w:vertAlign w:val="subscript"/>
              </w:rPr>
              <w:t xml:space="preserve">m</w:t>
            </w:r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  <w:r>
              <w:rPr>
                <w:vertAlign w:val="subscript"/>
              </w:rPr>
              <w:t xml:space="preserve">m+n</w:t>
            </w:r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± ΔΘ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</w:t>
            </w:r>
            <w:r>
              <w:rPr>
                <w:vertAlign w:val="subscript"/>
              </w:rPr>
              <w:t xml:space="preserve">теор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0,43 ± 0,04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0,28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</w:tr>
    </w:tbl>
    <w:p>
      <w:pPr>
        <w:pStyle w:val="BodyText"/>
      </w:pPr>
      <w:r>
        <w:t xml:space="preserve">Теоретический декремент рассчитан по параметрам контура: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к</m:t>
                      </m:r>
                      <m:r>
                        <m:t>р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Σ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той же формулы следует линейная связь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R</m:t>
                  </m:r>
                </m:e>
                <m:sub>
                  <m:r>
                    <m:t>Σ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Обозначим Y = 1/Θ</w:t>
      </w:r>
      <w:r>
        <w:rPr>
          <w:vertAlign w:val="superscript"/>
        </w:rPr>
        <w:t xml:space="preserve">2</w:t>
      </w:r>
      <w:r>
        <w:t xml:space="preserve">, X = 1/R</w:t>
      </w:r>
      <w:r>
        <w:rPr>
          <w:vertAlign w:val="subscript"/>
        </w:rPr>
        <w:t xml:space="preserve">Σ</w:t>
      </w:r>
      <w:r>
        <w:rPr>
          <w:vertAlign w:val="superscript"/>
        </w:rPr>
        <w:t xml:space="preserve">2</w:t>
      </w:r>
      <w:r>
        <w:t xml:space="preserve">. Тогда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r>
                <m:t>Δ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Δ</m:t>
              </m:r>
              <m:r>
                <m:t>X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drawing>
          <wp:inline>
            <wp:extent cx="4572000" cy="3048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Определение критического сопротивления по зависимости 1/Θ</w:t>
      </w:r>
      <w:r>
        <w:rPr>
          <w:vertAlign w:val="superscript"/>
        </w:rPr>
        <w:t xml:space="preserve">2</w:t>
      </w:r>
      <w:r>
        <w:t xml:space="preserve"> </w:t>
      </w:r>
      <w:r>
        <w:t xml:space="preserve">от 1/R</w:t>
      </w:r>
      <w:r>
        <w:rPr>
          <w:vertAlign w:val="subscript"/>
        </w:rPr>
        <w:t xml:space="preserve">Σ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Взвешенный МНК даёт Δ Y/Δ X = (1,56 ± 0,25)· 10</w:t>
      </w:r>
      <w:r>
        <w:rPr>
          <w:vertAlign w:val="superscript"/>
        </w:rPr>
        <w:t xml:space="preserve">6</w:t>
      </w:r>
      <w:r>
        <w:t xml:space="preserve"> </w:t>
      </w:r>
      <w:r>
        <w:t xml:space="preserve">Ом², свободный член −2,2 ± 1,8 (теоретически −1/4π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−0,025; согласие 1,2σ). Отсюда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±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nor/>
              <m:sty m:val="p"/>
            </m:rPr>
            <m:t>кОм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Разброс точек на рис. 2 большой: значения R сняты в узком диапазоне (0,03–0,05)·R</w:t>
      </w:r>
      <w:r>
        <w:rPr>
          <w:vertAlign w:val="subscript"/>
        </w:rPr>
        <w:t xml:space="preserve">кр</w:t>
      </w:r>
      <w:r>
        <w:t xml:space="preserve">, Θ в каждой точке определён по двум амплитудам, а погрешность Y = 1/Θ² растёт как 1/Θ³. Три правые точки (R ≤ 0,28 кОм) лежат почти на одном уровне: при малых R декремент перестаёт уменьшаться, Θ ≈ 0,22. Это видно и в таблице 8 и говорит о потерях, которые от R не зависят.</w:t>
      </w:r>
    </w:p>
    <w:p>
      <w:pPr>
        <w:pStyle w:val="BodyText"/>
      </w:pPr>
      <w:r>
        <w:rPr>
          <w:bCs/>
          <w:b/>
        </w:rPr>
        <w:t xml:space="preserve">3. Сравнение значений критического сопротивления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Способ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кр</w:t>
            </w:r>
            <w:r>
              <w:t xml:space="preserve">,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 по C^* = 6 нФ без учёта C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(п. 2.3.1)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 2√(L/C</w:t>
            </w:r>
            <w:r>
              <w:rPr>
                <w:vertAlign w:val="subscript"/>
              </w:rPr>
              <w:t xml:space="preserve">Σ</w:t>
            </w:r>
            <w:r>
              <w:t xml:space="preserve">) с учётом C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По наклону графика 1/Θ</w:t>
            </w:r>
            <w:r>
              <w:rPr>
                <w:vertAlign w:val="superscript"/>
              </w:rPr>
              <w:t xml:space="preserve">2</w:t>
            </w:r>
            <w:r>
              <w:t xml:space="preserve">(1/R</w:t>
            </w:r>
            <w:r>
              <w:rPr>
                <w:vertAlign w:val="subscript"/>
              </w:rPr>
              <w:t xml:space="preserve">Σ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 ± 0,6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Подбор по переходу в апериодический режим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</w:t>
            </w:r>
          </w:p>
        </w:tc>
      </w:tr>
    </w:tbl>
    <w:p>
      <w:pPr>
        <w:pStyle w:val="BodyText"/>
      </w:pPr>
      <w:r>
        <w:t xml:space="preserve">Учёт C</w:t>
      </w:r>
      <w:r>
        <w:rPr>
          <w:vertAlign w:val="subscript"/>
        </w:rPr>
        <w:t xml:space="preserve">0</w:t>
      </w:r>
      <w:r>
        <w:t xml:space="preserve"> </w:t>
      </w:r>
      <w:r>
        <w:t xml:space="preserve">уменьшает расчётное R</w:t>
      </w:r>
      <w:r>
        <w:rPr>
          <w:vertAlign w:val="subscript"/>
        </w:rPr>
        <w:t xml:space="preserve">кр</w:t>
      </w:r>
      <w:r>
        <w:t xml:space="preserve"> </w:t>
      </w:r>
      <w:r>
        <w:t xml:space="preserve">на 0,5 кОм. Значение по графику совпадает с расчётным с учётом C</w:t>
      </w:r>
      <w:r>
        <w:rPr>
          <w:vertAlign w:val="subscript"/>
        </w:rPr>
        <w:t xml:space="preserve">0</w:t>
      </w:r>
      <w:r>
        <w:t xml:space="preserve"> </w:t>
      </w:r>
      <w:r>
        <w:t xml:space="preserve">(7,8 ± 0,6 и 7,65 кОм, 0,3σ). Подбор даёт заметно меньшее значение, так как вблизи R</w:t>
      </w:r>
      <w:r>
        <w:rPr>
          <w:vertAlign w:val="subscript"/>
        </w:rPr>
        <w:t xml:space="preserve">кр</w:t>
      </w:r>
      <w:r>
        <w:t xml:space="preserve"> </w:t>
      </w:r>
      <w:r>
        <w:t xml:space="preserve">последний выброс становится меньше толщины линии и колебательный режим на экране «исчезает» раньше, чем на самом деле.</w:t>
      </w:r>
    </w:p>
    <w:p>
      <w:pPr>
        <w:pStyle w:val="BodyText"/>
      </w:pPr>
      <w:r>
        <w:rPr>
          <w:bCs/>
          <w:b/>
        </w:rPr>
        <w:t xml:space="preserve">4. Добротность по свободным колебаниям</w:t>
      </w:r>
    </w:p>
    <w:p>
      <w:pPr>
        <w:pStyle w:val="BodyText"/>
      </w:pPr>
      <w:r>
        <w:t xml:space="preserve">Добротность по декременту Q = π/Θ, теоретическая: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Наибольший декремент из таблицы 8 (R = 0,41 кОм, Θ = 0,43 ± 0,04) даёт Q = 7,3 ± 0,6 при Q</w:t>
      </w:r>
      <w:r>
        <w:rPr>
          <w:vertAlign w:val="subscript"/>
        </w:rPr>
        <w:t xml:space="preserve">теор</w:t>
      </w:r>
      <w:r>
        <w:t xml:space="preserve"> </w:t>
      </w:r>
      <w:r>
        <w:t xml:space="preserve">= 8,8. Наименьший (R = 0,21 кОм, Θ = 0,22 ± 0,02) даёт Q = 14,1 ± 1,4 при Q</w:t>
      </w:r>
      <w:r>
        <w:rPr>
          <w:vertAlign w:val="subscript"/>
        </w:rPr>
        <w:t xml:space="preserve">теор</w:t>
      </w:r>
      <w:r>
        <w:t xml:space="preserve"> </w:t>
      </w:r>
      <w:r>
        <w:t xml:space="preserve">= 16,4. Значение R</w:t>
      </w:r>
      <w:r>
        <w:rPr>
          <w:vertAlign w:val="subscript"/>
        </w:rPr>
        <w:t xml:space="preserve">2</w:t>
      </w:r>
      <w:r>
        <w:t xml:space="preserve"> </w:t>
      </w:r>
      <w:r>
        <w:t xml:space="preserve">= 0,20 кОм в п. 2.3 отдельно не снималось, поэтому для сравнения в итоговой таблице взята точка R = 0,21 кОм.</w:t>
      </w:r>
    </w:p>
    <w:p>
      <w:pPr>
        <w:pStyle w:val="BodyText"/>
      </w:pPr>
      <w:r>
        <w:rPr>
          <w:bCs/>
          <w:b/>
        </w:rPr>
        <w:t xml:space="preserve">5. Добротность по спирали на фазовой плоскости</w:t>
      </w:r>
    </w:p>
    <w:p>
      <w:pPr>
        <w:pStyle w:val="BodyText"/>
      </w:pPr>
      <w:r>
        <w:t xml:space="preserve">Курсоры a и b стоят на пересечениях соседних витков с осью X, то есть разделены одним периодом: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X</w:t>
      </w:r>
      <w:r>
        <w:rPr>
          <w:vertAlign w:val="subscript"/>
        </w:rPr>
        <w:t xml:space="preserve">k</w:t>
      </w:r>
      <w:r>
        <w:t xml:space="preserve"> </w:t>
      </w:r>
      <w:r>
        <w:t xml:space="preserve">— отклонение внешнего витка, X</w:t>
      </w:r>
      <w:r>
        <w:rPr>
          <w:vertAlign w:val="subscript"/>
        </w:rPr>
        <w:t xml:space="preserve">k+1</w:t>
      </w:r>
      <w:r>
        <w:t xml:space="preserve"> </w:t>
      </w:r>
      <w:r>
        <w:t xml:space="preserve">— следующего витка внутрь. Погрешность отсчёта положения курсора по сетке Δ X = 0,05 дел.</w:t>
      </w:r>
    </w:p>
    <w:p>
      <w:pPr>
        <w:pStyle w:val="BodyText"/>
      </w:pPr>
      <w:r>
        <w:rPr>
          <w:bCs/>
          <w:b/>
        </w:rPr>
        <w:t xml:space="preserve">Таблица 9. Декремент и добротность по спирали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R,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k</w:t>
            </w:r>
            <w:r>
              <w:t xml:space="preserve">, 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k+1</w:t>
            </w:r>
            <w:r>
              <w:t xml:space="preserve">, 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± ΔΘ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 ± Δ 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  <w:r>
              <w:rPr>
                <w:vertAlign w:val="subscript"/>
              </w:rPr>
              <w:t xml:space="preserve">теор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 ± 0,04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0,35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 ± 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0,37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 ± 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 ± 1,6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 ± 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</w:t>
            </w:r>
          </w:p>
        </w:tc>
      </w:tr>
    </w:tbl>
    <w:p>
      <w:pPr>
        <w:pStyle w:val="BodyText"/>
      </w:pPr>
      <w:r>
        <w:t xml:space="preserve">При R = 0,41 кОм спираль и осциллограмма дают одинаковый декремент (0,44 и 0,43).</w:t>
      </w:r>
    </w:p>
    <w:p>
      <w:pPr>
        <w:pStyle w:val="BodyText"/>
      </w:pPr>
      <w:r>
        <w:rPr>
          <w:bCs/>
          <w:b/>
        </w:rPr>
        <w:t xml:space="preserve">6. Резонансные кривые</w:t>
      </w:r>
    </w:p>
    <w:p>
      <w:pPr>
        <w:pStyle w:val="BodyText"/>
      </w:pPr>
      <w:r>
        <w:t xml:space="preserve">Экспериментальные точки аппроксимированы резонансной кривой (МНК, параметры U</w:t>
      </w:r>
      <w:r>
        <w:rPr>
          <w:vertAlign w:val="subscript"/>
        </w:rPr>
        <w:t xml:space="preserve">0</w:t>
      </w:r>
      <w:r>
        <w:t xml:space="preserve">, ν</w:t>
      </w:r>
      <w:r>
        <w:rPr>
          <w:vertAlign w:val="subscript"/>
        </w:rPr>
        <w:t xml:space="preserve">0</w:t>
      </w:r>
      <w:r>
        <w:t xml:space="preserve">, Q):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ν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ν</m:t>
                              </m:r>
                            </m:num>
                            <m:den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t>ν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амплитуда при резонансной частоте ν</w:t>
      </w:r>
      <w:r>
        <w:rPr>
          <w:vertAlign w:val="subscript"/>
        </w:rPr>
        <w:t xml:space="preserve">0</w:t>
      </w:r>
      <w:r>
        <w:t xml:space="preserve">.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края измеренного диапазона едва доходят до уровня 1/√2, поэтому ширину по точкам удаётся найти только с небольшой экстраполяцией, и аппроксимация здесь надёжнее.</w:t>
      </w:r>
    </w:p>
    <w:p>
      <w:pPr>
        <w:pStyle w:val="BodyText"/>
      </w:pPr>
      <w:r>
        <w:rPr>
          <w:bCs/>
          <w:b/>
        </w:rPr>
        <w:t xml:space="preserve">Таблица 10. Параметры резонансных кривых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0,41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0,20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</w:t>
            </w:r>
            <w:r>
              <w:rPr>
                <w:vertAlign w:val="subscript"/>
              </w:rPr>
              <w:t xml:space="preserve">0</w:t>
            </w:r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1,78 ± 0,01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3,25 ± 0,04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ν</w:t>
            </w:r>
            <w:r>
              <w:rPr>
                <w:vertAlign w:val="subscript"/>
              </w:rPr>
              <w:t xml:space="preserve">0</w:t>
            </w:r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6,115 ± 0,005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6,107 ± 0,004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 по аппроксимации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 ± 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 ± 0,4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 = ν</w:t>
            </w:r>
            <w:r>
              <w:rPr>
                <w:vertAlign w:val="subscript"/>
              </w:rPr>
              <w:t xml:space="preserve">0</w:t>
            </w:r>
            <w:r>
              <w:t xml:space="preserve">/2Δν по точкам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13,8</w:t>
            </w:r>
          </w:p>
        </w:tc>
      </w:tr>
    </w:tbl>
    <w:p>
      <w:pPr>
        <w:pStyle w:val="BodyText"/>
      </w:pPr>
      <w:r>
        <w:drawing>
          <wp:inline>
            <wp:extent cx="4846320" cy="31314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3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Резонансные кривые U/U</w:t>
      </w:r>
      <w:r>
        <w:rPr>
          <w:vertAlign w:val="subscript"/>
        </w:rPr>
        <w:t xml:space="preserve">0</w:t>
      </w:r>
      <w:r>
        <w:t xml:space="preserve"> </w:t>
      </w:r>
      <w:r>
        <w:t xml:space="preserve">= f(ν/ν</w:t>
      </w:r>
      <w:r>
        <w:rPr>
          <w:vertAlign w:val="subscript"/>
        </w:rPr>
        <w:t xml:space="preserve">0</w:t>
      </w:r>
      <w:r>
        <w:t xml:space="preserve">)</w:t>
      </w:r>
    </w:p>
    <w:p>
      <w:pPr>
        <w:pStyle w:val="BodyText"/>
      </w:pPr>
      <w:r>
        <w:t xml:space="preserve">Ширина кривой на уровне U</w:t>
      </w:r>
      <w:r>
        <w:rPr>
          <w:vertAlign w:val="subscript"/>
        </w:rPr>
        <w:t xml:space="preserve">max</w:t>
      </w:r>
      <w:r>
        <w:t xml:space="preserve">/√2 найдена по точкам линейной интерполяцией. Для R</w:t>
      </w:r>
      <w:r>
        <w:rPr>
          <w:vertAlign w:val="subscript"/>
        </w:rPr>
        <w:t xml:space="preserve">2</w:t>
      </w:r>
      <w:r>
        <w:t xml:space="preserve"> </w:t>
      </w:r>
      <w:r>
        <w:t xml:space="preserve">это 2Δν = 6,328 − 5,890 = 0,438 кГц, Q = 13,8.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(U</w:t>
      </w:r>
      <w:r>
        <w:rPr>
          <w:vertAlign w:val="subscript"/>
        </w:rPr>
        <w:t xml:space="preserve">max</w:t>
      </w:r>
      <w:r>
        <w:t xml:space="preserve"> </w:t>
      </w:r>
      <w:r>
        <w:t xml:space="preserve">= 1,80 В, уровень 1,273 В) крайние точки 5,72 и 6,59 кГц дают 1,28 В, то есть всего на 7 мВ выше уровня. Границы найдены небольшой линейной экстраполяцией по двум крайним точкам с каждой стороны: 5,716 и 6,608 кГц, 2Δν = 0,893 кГц, Q = 6,05/0,893 = 6,8. Правый склон пологий, поэтому граница чувствительна к выбору U</w:t>
      </w:r>
      <w:r>
        <w:rPr>
          <w:vertAlign w:val="subscript"/>
        </w:rPr>
        <w:t xml:space="preserve">max</w:t>
      </w:r>
      <w:r>
        <w:t xml:space="preserve">: при U</w:t>
      </w:r>
      <w:r>
        <w:rPr>
          <w:vertAlign w:val="subscript"/>
        </w:rPr>
        <w:t xml:space="preserve">0</w:t>
      </w:r>
      <w:r>
        <w:t xml:space="preserve"> </w:t>
      </w:r>
      <w:r>
        <w:t xml:space="preserve">= 1,78 В из аппроксимации Q = 6,5. Отсюда Q = 6,8 ± 0,3. Обе оценки согласуются с аппроксимацией. Резонансная частота, рассчитанная с учётом C</w:t>
      </w:r>
      <w:r>
        <w:rPr>
          <w:vertAlign w:val="subscript"/>
        </w:rPr>
        <w:t xml:space="preserve">0</w:t>
      </w:r>
      <w:r>
        <w:t xml:space="preserve">, равна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09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совпадает с найденными 6,107 и 6,115 кГц с точностью 0,3 %. Расчёт без C</w:t>
      </w:r>
      <w:r>
        <w:rPr>
          <w:vertAlign w:val="subscript"/>
        </w:rPr>
        <w:t xml:space="preserve">0</w:t>
      </w:r>
      <w:r>
        <w:t xml:space="preserve"> </w:t>
      </w:r>
      <w:r>
        <w:t xml:space="preserve">давал 6,5 кГц, и именно поэтому резонанс на установке нашёлся на 6,10 кГц.</w:t>
      </w:r>
    </w:p>
    <w:p>
      <w:pPr>
        <w:pStyle w:val="BodyText"/>
      </w:pPr>
      <w:r>
        <w:t xml:space="preserve">Добротность по ФЧХ не определялась: сдвиг фаз в п. 2.5.7 не измерялся.</w:t>
      </w:r>
    </w:p>
    <w:p>
      <w:pPr>
        <w:pStyle w:val="BodyText"/>
      </w:pPr>
      <w:r>
        <w:rPr>
          <w:bCs/>
          <w:b/>
        </w:rPr>
        <w:t xml:space="preserve">7. Добротность по нарастанию колебаний</w:t>
      </w:r>
    </w:p>
    <w:p>
      <w:pPr>
        <w:pStyle w:val="BodyText"/>
      </w:pPr>
      <w:r>
        <w:t xml:space="preserve">Логарифмический декремент по нарастанию амплитуды: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амплитуда установившихся колебаний, U</w:t>
      </w:r>
      <w:r>
        <w:rPr>
          <w:vertAlign w:val="subscript"/>
        </w:rPr>
        <w:t xml:space="preserve">k</w:t>
      </w:r>
      <w:r>
        <w:t xml:space="preserve"> </w:t>
      </w:r>
      <w:r>
        <w:t xml:space="preserve">— амплитуда на k-м периоде. Так как ln(U</w:t>
      </w:r>
      <w:r>
        <w:rPr>
          <w:vertAlign w:val="subscript"/>
        </w:rPr>
        <w:t xml:space="preserve">0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k</w:t>
      </w:r>
      <w:r>
        <w:t xml:space="preserve">) должен линейно убывать с k с наклоном −Θ, вместо отдельных пар строим зависимость по всем точкам (рис. 4).</w:t>
      </w:r>
    </w:p>
    <w:p>
      <w:pPr>
        <w:pStyle w:val="BodyText"/>
      </w:pPr>
      <w:r>
        <w:drawing>
          <wp:inline>
            <wp:extent cx="4572000" cy="304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Нарастание вынужденных колебаний в резонансе</w:t>
      </w:r>
    </w:p>
    <w:p>
      <w:pPr>
        <w:pStyle w:val="BodyText"/>
      </w:pPr>
      <w:r>
        <w:rPr>
          <w:bCs/>
          <w:b/>
        </w:rPr>
        <w:t xml:space="preserve">Таблица 11. Декремент по нарастанию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пары (k, k+n)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по парам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по МНК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0,41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(2,4), (3,5), (2,6), (4,7)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0,34; 0,34; 0,30; 0,27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0,31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0,20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(2,4), (3,5), (2,6), (4,8)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0,21; 0,22; 0,21; 0,22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 ± 0,01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 ± 0,6</w:t>
            </w:r>
          </w:p>
        </w:tc>
      </w:tr>
    </w:tbl>
    <w:p>
      <w:pPr>
        <w:pStyle w:val="BodyText"/>
      </w:pPr>
      <w:r>
        <w:t xml:space="preserve">Погрешность каждой точки рис. 4 получена из Δ U = 40 мВ для U</w:t>
      </w:r>
      <w:r>
        <w:rPr>
          <w:vertAlign w:val="subscript"/>
        </w:rPr>
        <w:t xml:space="preserve">k</w:t>
      </w:r>
      <w:r>
        <w:t xml:space="preserve"> </w:t>
      </w:r>
      <w:r>
        <w:t xml:space="preserve">и U</w:t>
      </w:r>
      <w:r>
        <w:rPr>
          <w:vertAlign w:val="subscript"/>
        </w:rPr>
        <w:t xml:space="preserve">0</w:t>
      </w:r>
      <w:r>
        <w:t xml:space="preserve"> </w:t>
      </w:r>
      <w:r>
        <w:t xml:space="preserve">(шаг курсора на 1 В/дел).</w:t>
      </w:r>
    </w:p>
    <w:p>
      <w:pPr>
        <w:pStyle w:val="BodyText"/>
      </w:pPr>
      <w:r>
        <w:t xml:space="preserve">Для R</w:t>
      </w:r>
      <w:r>
        <w:rPr>
          <w:vertAlign w:val="subscript"/>
        </w:rPr>
        <w:t xml:space="preserve">2</w:t>
      </w:r>
      <w:r>
        <w:t xml:space="preserve"> </w:t>
      </w:r>
      <w:r>
        <w:t xml:space="preserve">точки ложатся на прямую хорошо, а пары дают одинаковый декремент.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декремент по парам заметно падает с ростом k. Скорее всего, U</w:t>
      </w:r>
      <w:r>
        <w:rPr>
          <w:vertAlign w:val="subscript"/>
        </w:rPr>
        <w:t xml:space="preserve">0</w:t>
      </w:r>
      <w:r>
        <w:t xml:space="preserve"> </w:t>
      </w:r>
      <w:r>
        <w:t xml:space="preserve">= 1,70 В измерено чуть ниже реального: при занижении U</w:t>
      </w:r>
      <w:r>
        <w:rPr>
          <w:vertAlign w:val="subscript"/>
        </w:rPr>
        <w:t xml:space="preserve">0</w:t>
      </w:r>
      <w:r>
        <w:t xml:space="preserve"> </w:t>
      </w:r>
      <w:r>
        <w:t xml:space="preserve">разности U</w:t>
      </w:r>
      <w:r>
        <w:rPr>
          <w:vertAlign w:val="subscript"/>
        </w:rPr>
        <w:t xml:space="preserve">0</w:t>
      </w:r>
      <w:r>
        <w:t xml:space="preserve"> </w:t>
      </w:r>
      <w:r>
        <w:t xml:space="preserve">- U</w:t>
      </w:r>
      <w:r>
        <w:rPr>
          <w:vertAlign w:val="subscript"/>
        </w:rPr>
        <w:t xml:space="preserve">k</w:t>
      </w:r>
      <w:r>
        <w:t xml:space="preserve"> </w:t>
      </w:r>
      <w:r>
        <w:t xml:space="preserve">на поздних периодах уменьшаются сильнее всего, и наклон искажается. Поэтому Q по нарастанию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получилась завышенной по сравнению с остальными методами.</w:t>
      </w:r>
    </w:p>
    <w:p>
      <w:pPr>
        <w:pStyle w:val="BodyText"/>
      </w:pPr>
      <w:r>
        <w:t xml:space="preserve">Добротность по затуханию колебаний не определялась: затухание после окончания цуга (п. 2.6.8–9) не измерялось.</w:t>
      </w:r>
    </w:p>
    <w:p>
      <w:pPr>
        <w:pStyle w:val="BodyText"/>
      </w:pPr>
      <w:r>
        <w:rPr>
          <w:bCs/>
          <w:b/>
        </w:rPr>
        <w:t xml:space="preserve">8. Биения</w:t>
      </w:r>
    </w:p>
    <w:p>
      <w:pPr>
        <w:pStyle w:val="BodyText"/>
      </w:pPr>
      <w:r>
        <w:t xml:space="preserve">При отстройке генератора от резонанса (6,39 и 6,89 кГц) в начале цуга видны биения. Это сумма вынужденных колебаний на частоте генератора ν и затухающих собственных колебаний на частоте ν</w:t>
      </w:r>
      <w:r>
        <w:rPr>
          <w:vertAlign w:val="subscript"/>
        </w:rPr>
        <w:t xml:space="preserve">0</w:t>
      </w:r>
      <w:r>
        <w:t xml:space="preserve">, огибающая которых пульсирует с разностной частотой |ν - ν</w:t>
      </w:r>
      <w:r>
        <w:rPr>
          <w:vertAlign w:val="subscript"/>
        </w:rPr>
        <w:t xml:space="preserve">0</w:t>
      </w:r>
      <w:r>
        <w:t xml:space="preserve">|. Для ν = 6,39 кГц это ≈ 0,29 кГц (период биений около 3,4 мс), для 6,89 кГц — ≈ 0,79 кГц (около 1,3 мс). После того как собственные колебания затухают (время порядка 1/γ, где γ — коэффициент затухания), биения исчезают и остаются синусоидальные колебания с частотой генератора.</w:t>
      </w:r>
    </w:p>
    <w:p>
      <w:pPr>
        <w:pStyle w:val="BodyText"/>
      </w:pPr>
      <w:r>
        <w:rPr>
          <w:bCs/>
          <w:b/>
        </w:rPr>
        <w:t xml:space="preserve">9. Сводная таблица добротностей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0,41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0,20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Свободные: теория f(L, C, 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Свободные: по декременту f(Θ)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14,1 ± 1,4*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Свободные: спираль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 ± 1,9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АЧХ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 ± 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 ± 0,4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ФЧХ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нарастание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 ± 0,6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затухание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* по точке R = 0,21 кОм.</w:t>
      </w:r>
    </w:p>
    <w:p>
      <w:pPr>
        <w:pStyle w:val="BodyText"/>
      </w:pPr>
      <w:r>
        <w:t xml:space="preserve">Для R</w:t>
      </w:r>
      <w:r>
        <w:rPr>
          <w:vertAlign w:val="subscript"/>
        </w:rPr>
        <w:t xml:space="preserve">2</w:t>
      </w:r>
      <w:r>
        <w:t xml:space="preserve"> </w:t>
      </w:r>
      <w:r>
        <w:t xml:space="preserve">все экспериментальные методы дают Q = 14–15 и согласуются между собой в пределах погрешности.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согласуются три метода (декремент, спираль, АЧХ), Q ≈ 7,2, а нарастание выбивается по причине, описанной в п. 7. Самым точным оказался метод АЧХ: в нём используются все точки кривой, а не две амплитуды. Теоретическое значение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и R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выше измеренного на 15–20 %: реальные потери в контуре больше, чем дают R и R</w:t>
      </w:r>
      <w:r>
        <w:rPr>
          <w:vertAlign w:val="subscript"/>
        </w:rPr>
        <w:t xml:space="preserve">L</w:t>
      </w:r>
      <w:r>
        <w:t xml:space="preserve">, измеренное на 1,5 кГц. Это согласуется с тем, что при малых R декремент перестаёт уменьшаться (п. 2).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2026-10-12T19:45:25Z</dcterms:created>
  <dcterms:modified xsi:type="dcterms:W3CDTF">2026-10-12T19:45:25Z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