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Обработка результатов</w:t>
      </w:r>
    </w:p>
    <w:p>
      <w:pPr>
        <w:pStyle w:val="BodyText"/>
      </w:pPr>
      <w:r>
        <w:t xml:space="preserve">В расчётах использованы значения, измеренные LCR-метром на частоте 1,5 кГц: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95</m:t>
        </m:r>
      </m:oMath>
      <w:r>
        <w:t xml:space="preserve"> </w:t>
      </w:r>
      <w:r>
        <w:t xml:space="preserve">мГн — индуктивность магазина,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22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Ом — его активное сопротивление.</w:t>
      </w:r>
    </w:p>
    <w:p>
      <w:pPr>
        <w:pStyle w:val="BodyText"/>
      </w:pPr>
      <w:r>
        <w:rPr>
          <w:bCs/>
          <w:b/>
        </w:rPr>
        <w:t xml:space="preserve">1. Период свободных колебаний и собственная ёмкость контура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контур колеблется за счёт собственной ёмкости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(монтаж, соединительная коробка, вход осциллографа). Её находим по периоду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64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мкс, измеренному 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T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L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06</m:t>
          </m:r>
          <m:r>
            <m:t> </m:t>
          </m:r>
          <m:r>
            <m:rPr>
              <m:nor/>
              <m:sty m:val="p"/>
            </m:rPr>
            <m:t>нФ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Затухание 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мало, поэтому разницей между периодом затухающих колебаний и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пренебрегаем. Теоретический период считается с учётом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т</m:t>
              </m:r>
              <m:r>
                <m:t>е</m:t>
              </m:r>
              <m:r>
                <m:t>о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rad>
            <m:radPr>
              <m:degHide m:val="on"/>
            </m:radPr>
            <m:deg/>
            <m:e>
              <m:r>
                <m:t>L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ёмкость, выставленная на магазине.</w:t>
      </w:r>
    </w:p>
    <w:p>
      <w:pPr>
        <w:pStyle w:val="BodyText"/>
      </w:pPr>
      <w:r>
        <w:rPr>
          <w:bCs/>
          <w:b/>
        </w:rPr>
        <w:t xml:space="preserve">Таблица 7. Экспериментальный и теоретический периоды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, мкФ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э</m:t>
                  </m:r>
                  <m:r>
                    <m:t>к</m:t>
                  </m:r>
                  <m:r>
                    <m:t>с</m:t>
                  </m:r>
                  <m:r>
                    <m:t>п</m:t>
                  </m:r>
                </m:sub>
              </m:sSub>
            </m:oMath>
            <w:r>
              <w:t xml:space="preserve">, мкс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т</m:t>
                  </m:r>
                  <m:r>
                    <m:t>е</m:t>
                  </m:r>
                  <m:r>
                    <m:t>о</m:t>
                  </m:r>
                  <m:r>
                    <m:t>р</m:t>
                  </m:r>
                </m:sub>
              </m:sSub>
            </m:oMath>
            <w:r>
              <w:t xml:space="preserve">, мкс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167,0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199,3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расхождение,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</w:t>
            </w:r>
          </w:p>
        </w:tc>
      </w:tr>
    </w:tbl>
    <w:p>
      <w:pPr>
        <w:pStyle w:val="BodyText"/>
      </w:pPr>
      <w:r>
        <w:drawing>
          <wp:inline>
            <wp:extent cx="4572000" cy="3048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1. Зависимость</w:t>
      </w:r>
      <w:r>
        <w:t xml:space="preserve"> </w:t>
      </w:r>
      <m:oMath>
        <m:sSub>
          <m:e>
            <m:r>
              <m:t>T</m:t>
            </m:r>
          </m:e>
          <m:sub>
            <m:r>
              <m:t>э</m:t>
            </m:r>
            <m:r>
              <m:t>к</m:t>
            </m:r>
            <m:r>
              <m:t>с</m:t>
            </m:r>
            <m:r>
              <m:t>п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т</m:t>
                </m:r>
                <m:r>
                  <m:t>е</m:t>
                </m:r>
                <m:r>
                  <m:t>о</m:t>
                </m:r>
                <m:r>
                  <m:t>р</m:t>
                </m:r>
              </m:sub>
            </m:sSub>
          </m:e>
        </m:d>
      </m:oMath>
    </w:p>
    <w:p>
      <w:pPr>
        <w:pStyle w:val="BodyText"/>
      </w:pPr>
      <w:r>
        <w:t xml:space="preserve">Погрешность отсчёта периода курсорами оценена в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≈</m:t>
        </m:r>
        <m:r>
          <m:t>2</m:t>
        </m:r>
      </m:oMath>
      <w:r>
        <w:t xml:space="preserve"> </w:t>
      </w:r>
      <w:r>
        <w:t xml:space="preserve">мкс. Угловой коэффициент прямой</w:t>
      </w:r>
      <w:r>
        <w:t xml:space="preserve"> </w:t>
      </w:r>
      <m:oMath>
        <m:sSub>
          <m:e>
            <m:r>
              <m:t>T</m:t>
            </m:r>
          </m:e>
          <m:sub>
            <m:r>
              <m:t>э</m:t>
            </m:r>
            <m:r>
              <m:t>к</m:t>
            </m:r>
            <m:r>
              <m:t>с</m:t>
            </m:r>
            <m:r>
              <m:t>п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т</m:t>
                </m:r>
                <m:r>
                  <m:t>е</m:t>
                </m:r>
                <m:r>
                  <m:t>о</m:t>
                </m:r>
                <m:r>
                  <m:t>р</m:t>
                </m:r>
              </m:sub>
            </m:sSub>
          </m:e>
        </m:d>
      </m:oMath>
      <w:r>
        <w:t xml:space="preserve"> </w:t>
      </w:r>
      <w:r>
        <w:t xml:space="preserve">по МНК равен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008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008</m:t>
        </m:r>
      </m:oMath>
      <w:r>
        <w:t xml:space="preserve">, все точки лежат на прямой</w:t>
      </w:r>
      <w:r>
        <w:t xml:space="preserve"> </w:t>
      </w:r>
      <m:oMath>
        <m:sSub>
          <m:e>
            <m:r>
              <m:t>T</m:t>
            </m:r>
          </m:e>
          <m:sub>
            <m:r>
              <m:t>э</m:t>
            </m:r>
            <m:r>
              <m:t>к</m:t>
            </m:r>
            <m:r>
              <m:t>с</m:t>
            </m:r>
            <m:r>
              <m:t>п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т</m:t>
            </m:r>
            <m:r>
              <m:t>е</m:t>
            </m:r>
            <m:r>
              <m:t>о</m:t>
            </m:r>
            <m:r>
              <m:t>р</m:t>
            </m:r>
          </m:sub>
        </m:sSub>
      </m:oMath>
      <w:r>
        <w:t xml:space="preserve"> </w:t>
      </w:r>
      <w:r>
        <w:t xml:space="preserve">в пределах погрешности. Независимая проверка: аппроксимация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t>L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по всем точкам даёт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мГн и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06</m:t>
        </m:r>
      </m:oMath>
      <w:r>
        <w:t xml:space="preserve"> </w:t>
      </w:r>
      <w:r>
        <w:t xml:space="preserve">нФ. Это совпадает с показанием LCR-метра с точностью около 1 %.</w:t>
      </w:r>
    </w:p>
    <w:p>
      <w:pPr>
        <w:pStyle w:val="BodyText"/>
      </w:pPr>
      <w:r>
        <w:t xml:space="preserve">Полная ёмкость контура в остальных опытах: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м</m:t>
              </m:r>
              <m:r>
                <m:t>а</m:t>
              </m:r>
              <m:r>
                <m:t>г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76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06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82</m:t>
          </m:r>
          <m:r>
            <m:t> </m:t>
          </m:r>
          <m:r>
            <m:rPr>
              <m:nor/>
              <m:sty m:val="p"/>
            </m:rPr>
            <m:t>нФ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sSub>
          <m:e>
            <m:r>
              <m:t>C</m:t>
            </m:r>
          </m:e>
          <m:sub>
            <m:r>
              <m:t>м</m:t>
            </m:r>
            <m:r>
              <m:t>а</m:t>
            </m:r>
            <m:r>
              <m:t>г</m:t>
            </m:r>
          </m:sub>
        </m:sSub>
      </m:oMath>
      <w:r>
        <w:t xml:space="preserve"> </w:t>
      </w:r>
      <w:r>
        <w:t xml:space="preserve">— ёмкость на магазине, выставленная по расчёту на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кГц. Волновое сопротивление контура: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L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Σ</m:t>
                  </m:r>
                </m:sub>
              </m:sSub>
            </m:e>
          </m:ra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83</m:t>
          </m:r>
          <m:r>
            <m:t> </m:t>
          </m:r>
          <m:r>
            <m:rPr>
              <m:nor/>
              <m:sty m:val="p"/>
            </m:rPr>
            <m:t>кОм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2. Логарифмический декремент и критическое сопротивление</w:t>
      </w:r>
    </w:p>
    <w:p>
      <w:pPr>
        <w:pStyle w:val="BodyText"/>
      </w:pPr>
      <w:r>
        <w:t xml:space="preserve">Число периодов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между измеренными амплитудами в тетради не записано. Его определяли по фото, считая, на какой по счёту максимум поставлен второй курсор. Декремент: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первый максимум после импульса,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 </w:t>
      </w:r>
      <w:r>
        <w:t xml:space="preserve">— максимум через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периодов. Полное сопротивление контура</w:t>
      </w:r>
      <w:r>
        <w:t xml:space="preserve"> </w:t>
      </w:r>
      <m:oMath>
        <m:sSub>
          <m:e>
            <m:r>
              <m:t>R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, 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сопротивление магазина. Погрешность отсчёта амплитуды принята равной разрешению АЦП осциллографа,</w:t>
      </w:r>
      <w:r>
        <w:t xml:space="preserve"> </w:t>
      </w:r>
      <m:oMath>
        <m:r>
          <m:t>Δ</m:t>
        </m:r>
        <m:r>
          <m:t>U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мВ.</w:t>
      </w:r>
    </w:p>
    <w:p>
      <w:pPr>
        <w:pStyle w:val="BodyText"/>
      </w:pPr>
      <w:r>
        <w:rPr>
          <w:bCs/>
          <w:b/>
        </w:rPr>
        <w:t xml:space="preserve">Таблица 8. Декремент затухания по осциллограммам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, кОм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Σ</m:t>
                  </m:r>
                </m:sub>
              </m:sSub>
            </m:oMath>
            <w:r>
              <w:t xml:space="preserve">, Ом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b>
              </m:sSub>
            </m:oMath>
            <w:r>
              <w:t xml:space="preserve">, мВ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±</m:t>
              </m:r>
              <m:r>
                <m:t>Δ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Θ</m:t>
                  </m:r>
                </m:e>
                <m:sub>
                  <m:r>
                    <m:t>т</m:t>
                  </m:r>
                  <m:r>
                    <m:t>е</m:t>
                  </m:r>
                  <m:r>
                    <m:t>о</m:t>
                  </m:r>
                  <m:r>
                    <m:t>р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0,43 ± 0,04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0,28 ± 0,02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0,30 ± 0,02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0,22 ± 0,02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0,22 ± 0,02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0,19</w:t>
            </w:r>
          </w:p>
        </w:tc>
      </w:tr>
    </w:tbl>
    <w:p>
      <w:pPr>
        <w:pStyle w:val="BodyText"/>
      </w:pPr>
      <w:r>
        <w:t xml:space="preserve">Теоретический декремент рассчитан по параметрам контура: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т</m:t>
              </m:r>
              <m:r>
                <m:t>е</m:t>
              </m:r>
              <m:r>
                <m:t>о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Σ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к</m:t>
                      </m:r>
                      <m:r>
                        <m:t>р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Σ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к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Из той же формулы следует линейная связь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к</m:t>
                  </m:r>
                  <m:r>
                    <m:t>р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R</m:t>
                  </m:r>
                </m:e>
                <m:sub>
                  <m:r>
                    <m:t>Σ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Обозначим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r>
              <m:t>R</m:t>
            </m:r>
          </m:e>
          <m:sub>
            <m:r>
              <m:t>Σ</m:t>
            </m:r>
          </m:sub>
          <m:sup>
            <m:r>
              <m:t>2</m:t>
            </m:r>
          </m:sup>
        </m:sSubSup>
      </m:oMath>
      <w:r>
        <w:t xml:space="preserve">. Тогда</w:t>
      </w:r>
      <w:r>
        <w:t xml:space="preserve"> </w:t>
      </w:r>
      <m:oMath>
        <m:sSub>
          <m:e>
            <m:r>
              <m:t>R</m:t>
            </m:r>
          </m:e>
          <m:sub>
            <m:r>
              <m:t>к</m:t>
            </m:r>
            <m:r>
              <m:t>р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ad>
          <m:radPr>
            <m:degHide m:val="on"/>
          </m:radPr>
          <m:deg/>
          <m:e>
            <m:r>
              <m:t>Δ</m:t>
            </m:r>
            <m:r>
              <m:t>Y</m:t>
            </m:r>
            <m:r>
              <m:rPr>
                <m:sty m:val="p"/>
              </m:rPr>
              <m:t>/</m:t>
            </m:r>
            <m:r>
              <m:t>Δ</m:t>
            </m:r>
            <m:r>
              <m:t>X</m:t>
            </m:r>
          </m:e>
        </m:rad>
      </m:oMath>
      <w:r>
        <w:t xml:space="preserve">.</w:t>
      </w:r>
    </w:p>
    <w:p>
      <w:pPr>
        <w:pStyle w:val="BodyText"/>
      </w:pPr>
      <w:r>
        <w:drawing>
          <wp:inline>
            <wp:extent cx="4572000" cy="3048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2. Определение критического сопротивления по зависимости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от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R</m:t>
            </m:r>
          </m:e>
          <m:sub>
            <m:r>
              <m:t>Σ</m:t>
            </m:r>
          </m:sub>
          <m:sup>
            <m:r>
              <m:t>2</m:t>
            </m:r>
          </m:sup>
        </m:sSubSup>
      </m:oMath>
    </w:p>
    <w:p>
      <w:pPr>
        <w:pStyle w:val="BodyText"/>
      </w:pPr>
      <w:r>
        <w:t xml:space="preserve">Взвешенный МНК даёт</w:t>
      </w:r>
      <w:r>
        <w:t xml:space="preserve"> </w:t>
      </w:r>
      <m:oMath>
        <m:r>
          <m:t>Δ</m:t>
        </m:r>
        <m:r>
          <m:t>Y</m:t>
        </m:r>
        <m:r>
          <m:rPr>
            <m:sty m:val="p"/>
          </m:rPr>
          <m:t>/</m:t>
        </m:r>
        <m:r>
          <m:t>Δ</m:t>
        </m:r>
        <m: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±</m:t>
            </m:r>
            <m:r>
              <m:t>0</m:t>
            </m:r>
            <m:r>
              <m:rPr>
                <m:sty m:val="p"/>
              </m:rPr>
              <m:t>,</m:t>
            </m:r>
            <m:r>
              <m:t>22</m:t>
            </m:r>
          </m:e>
        </m:d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Ом², свободный член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(теоретически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025</m:t>
        </m:r>
      </m:oMath>
      <w:r>
        <w:t xml:space="preserve">). Отсюда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к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±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r>
            <m:t> </m:t>
          </m:r>
          <m:r>
            <m:rPr>
              <m:nor/>
              <m:sty m:val="p"/>
            </m:rPr>
            <m:t>кОм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Разброс точек на рис. 2 большой: значения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сняты в узком диапазоне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03</m:t>
        </m:r>
      </m:oMath>
      <w:r>
        <w:t xml:space="preserve">–</w:t>
      </w:r>
      <m:oMath>
        <m:r>
          <m:t>0</m:t>
        </m:r>
        <m:r>
          <m:rPr>
            <m:sty m:val="p"/>
          </m:rPr>
          <m:t>,</m:t>
        </m:r>
        <m:r>
          <m:t>05</m:t>
        </m:r>
        <m:r>
          <m:rPr>
            <m:sty m:val="p"/>
          </m:rPr>
          <m:t>)</m:t>
        </m:r>
        <m:r>
          <m:t> </m:t>
        </m:r>
        <m:sSub>
          <m:e>
            <m:r>
              <m:t>R</m:t>
            </m:r>
          </m:e>
          <m:sub>
            <m:r>
              <m:t>к</m:t>
            </m:r>
            <m:r>
              <m:t>р</m:t>
            </m:r>
          </m:sub>
        </m:sSub>
      </m:oMath>
      <w:r>
        <w:t xml:space="preserve">, 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в каждой точке определён по двум амплитудам.</w:t>
      </w:r>
    </w:p>
    <w:p>
      <w:pPr>
        <w:pStyle w:val="BodyText"/>
      </w:pPr>
      <w:r>
        <w:rPr>
          <w:bCs/>
          <w:b/>
        </w:rPr>
        <w:t xml:space="preserve">3. Сравнение значений критического сопротивления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Способ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к</m:t>
                  </m:r>
                  <m:r>
                    <m:t>р</m:t>
                  </m:r>
                </m:sub>
              </m:sSub>
            </m:oMath>
            <w:r>
              <w:t xml:space="preserve">, кОм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Расчёт по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нФ без учёта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(п. 2.3.1)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Расчёт</w:t>
            </w:r>
            <w: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e>
              </m:rad>
            </m:oMath>
            <w:r>
              <w:t xml:space="preserve"> </w:t>
            </w:r>
            <w:r>
              <w:t xml:space="preserve">с учётом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7,65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По наклону графика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Σ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6,9 ± 0,6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Подбор по переходу в апериодический режим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</w:t>
            </w:r>
          </w:p>
        </w:tc>
      </w:tr>
    </w:tbl>
    <w:p>
      <w:pPr>
        <w:pStyle w:val="BodyText"/>
      </w:pPr>
      <w:r>
        <w:t xml:space="preserve">Учёт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уменьшает расчётное</w:t>
      </w:r>
      <w:r>
        <w:t xml:space="preserve"> </w:t>
      </w:r>
      <m:oMath>
        <m:sSub>
          <m:e>
            <m:r>
              <m:t>R</m:t>
            </m:r>
          </m:e>
          <m:sub>
            <m:r>
              <m:t>к</m:t>
            </m:r>
            <m:r>
              <m:t>р</m:t>
            </m:r>
          </m:sub>
        </m:sSub>
      </m:oMath>
      <w:r>
        <w:t xml:space="preserve"> </w:t>
      </w:r>
      <w:r>
        <w:t xml:space="preserve">на 0,5 кОм. Значение по графику ниже расчётного примерно на 10 %, потому что в контуре есть потери, не учтённые в</w:t>
      </w:r>
      <w:r>
        <w:t xml:space="preserve"> </w:t>
      </w:r>
      <m:oMath>
        <m:sSub>
          <m:e>
            <m:r>
              <m:t>R</m:t>
            </m:r>
          </m:e>
          <m:sub>
            <m:r>
              <m:t>Σ</m:t>
            </m:r>
          </m:sub>
        </m:sSub>
      </m:oMath>
      <w:r>
        <w:t xml:space="preserve">: рост сопротивления катушки на частоте 6 кГц по сравнению с 1,5 кГц, потери в магазине ёмкостей, шунтирование контура генератором через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 Эти потери увеличивают</w:t>
      </w:r>
      <w:r>
        <w:t xml:space="preserve"> </w:t>
      </w:r>
      <m:oMath>
        <m:r>
          <m:t>Θ</m:t>
        </m:r>
      </m:oMath>
      <w:r>
        <w:t xml:space="preserve">, что видно и по таблице 8: измеренный декремент в большинстве точек выше теоретического. Подбор даёт самое низкое значение, так как вблизи</w:t>
      </w:r>
      <w:r>
        <w:t xml:space="preserve"> </w:t>
      </w:r>
      <m:oMath>
        <m:sSub>
          <m:e>
            <m:r>
              <m:t>R</m:t>
            </m:r>
          </m:e>
          <m:sub>
            <m:r>
              <m:t>к</m:t>
            </m:r>
            <m:r>
              <m:t>р</m:t>
            </m:r>
          </m:sub>
        </m:sSub>
      </m:oMath>
      <w:r>
        <w:t xml:space="preserve"> </w:t>
      </w:r>
      <w:r>
        <w:t xml:space="preserve">последний выброс становится меньше толщины линии и колебательный режим на экране «исчезает» раньше, чем на самом деле.</w:t>
      </w:r>
    </w:p>
    <w:p>
      <w:pPr>
        <w:pStyle w:val="BodyText"/>
      </w:pPr>
      <w:r>
        <w:rPr>
          <w:bCs/>
          <w:b/>
        </w:rPr>
        <w:t xml:space="preserve">4. Добротность по свободным колебаниям</w:t>
      </w:r>
    </w:p>
    <w:p>
      <w:pPr>
        <w:pStyle w:val="BodyText"/>
      </w:pPr>
      <w:r>
        <w:t xml:space="preserve">Добротность по декременту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Θ</m:t>
        </m:r>
      </m:oMath>
      <w:r>
        <w:t xml:space="preserve">, теоретическая: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т</m:t>
              </m:r>
              <m:r>
                <m:t>е</m:t>
              </m:r>
              <m:r>
                <m:t>о</m:t>
              </m:r>
              <m:r>
                <m:t>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Σ</m:t>
                  </m:r>
                </m:sub>
              </m:sSub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Наибольший декремент из таблицы 8 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41</m:t>
        </m:r>
      </m:oMath>
      <w:r>
        <w:t xml:space="preserve"> </w:t>
      </w:r>
      <w:r>
        <w:t xml:space="preserve">кОм,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43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04</m:t>
        </m:r>
      </m:oMath>
      <w:r>
        <w:t xml:space="preserve">) даёт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Q</m:t>
            </m:r>
          </m:e>
          <m:sub>
            <m:r>
              <m:t>т</m:t>
            </m:r>
            <m:r>
              <m:t>е</m:t>
            </m:r>
            <m:r>
              <m:t>о</m:t>
            </m:r>
            <m:r>
              <m:t>р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8</m:t>
        </m:r>
      </m:oMath>
      <w:r>
        <w:t xml:space="preserve">. Наименьший 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21</m:t>
        </m:r>
      </m:oMath>
      <w:r>
        <w:t xml:space="preserve"> </w:t>
      </w:r>
      <w:r>
        <w:t xml:space="preserve">кОм,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) даёт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при</w:t>
      </w:r>
      <w:r>
        <w:t xml:space="preserve"> </w:t>
      </w:r>
      <m:oMath>
        <m:sSub>
          <m:e>
            <m:r>
              <m:t>Q</m:t>
            </m:r>
          </m:e>
          <m:sub>
            <m:r>
              <m:t>т</m:t>
            </m:r>
            <m:r>
              <m:t>е</m:t>
            </m:r>
            <m:r>
              <m:t>о</m:t>
            </m:r>
            <m:r>
              <m:t>р</m:t>
            </m:r>
          </m:sub>
        </m:sSub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4</m:t>
        </m:r>
      </m:oMath>
      <w:r>
        <w:t xml:space="preserve">. Значение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20</m:t>
        </m:r>
      </m:oMath>
      <w:r>
        <w:t xml:space="preserve"> </w:t>
      </w:r>
      <w:r>
        <w:t xml:space="preserve">кОм в п. 2.3 отдельно не снималось, поэтому для сравнения в итоговой таблице взята точка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21</m:t>
        </m:r>
      </m:oMath>
      <w:r>
        <w:t xml:space="preserve"> </w:t>
      </w:r>
      <w:r>
        <w:t xml:space="preserve">кОм.</w:t>
      </w:r>
    </w:p>
    <w:p>
      <w:pPr>
        <w:pStyle w:val="BodyText"/>
      </w:pPr>
      <w:r>
        <w:rPr>
          <w:bCs/>
          <w:b/>
        </w:rPr>
        <w:t xml:space="preserve">5. Добротность по спирали на фазовой плоскости</w:t>
      </w:r>
    </w:p>
    <w:p>
      <w:pPr>
        <w:pStyle w:val="BodyText"/>
      </w:pPr>
      <w:r>
        <w:t xml:space="preserve">Курсоры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стоят на пересечениях соседних витков с осью</w:t>
      </w:r>
      <w:r>
        <w:t xml:space="preserve"> </w:t>
      </w:r>
      <m:oMath>
        <m:r>
          <m:t>X</m:t>
        </m:r>
      </m:oMath>
      <w:r>
        <w:t xml:space="preserve">, то есть разделены одним периодом: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Θ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отклонение внешнего витка,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— следующего витка внутрь. Погрешность отсчёта положения курсора по сетке</w:t>
      </w:r>
      <w:r>
        <w:t xml:space="preserve"> </w:t>
      </w:r>
      <m:oMath>
        <m:r>
          <m:t>Δ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дел.</w:t>
      </w:r>
    </w:p>
    <w:p>
      <w:pPr>
        <w:pStyle w:val="BodyText"/>
      </w:pPr>
      <w:r>
        <w:rPr>
          <w:bCs/>
          <w:b/>
        </w:rPr>
        <w:t xml:space="preserve">Таблица 9. Декремент и добротность по спирали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, кОм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дел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 дел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±</m:t>
              </m:r>
              <m:r>
                <m:t>Δ</m:t>
              </m:r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±</m:t>
              </m:r>
              <m:r>
                <m:t>Δ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т</m:t>
                  </m:r>
                  <m:r>
                    <m:t>е</m:t>
                  </m:r>
                  <m:r>
                    <m:t>о</m:t>
                  </m:r>
                  <m:r>
                    <m:t>р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0,44 ± 0,04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 ± 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0,35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 ± 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0,37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8,6 ± 0,7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0,23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 ± 1,6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0,20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0,20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15,4 ± 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17,2</w:t>
            </w:r>
          </w:p>
        </w:tc>
      </w:tr>
    </w:tbl>
    <w:p>
      <w:pPr>
        <w:pStyle w:val="BodyTex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41</m:t>
        </m:r>
      </m:oMath>
      <w:r>
        <w:t xml:space="preserve"> </w:t>
      </w:r>
      <w:r>
        <w:t xml:space="preserve">кОм спираль и осциллограмма дают одинаковый декремент (0,44 и 0,43).</w:t>
      </w:r>
    </w:p>
    <w:p>
      <w:pPr>
        <w:pStyle w:val="BodyText"/>
      </w:pPr>
      <w:r>
        <w:rPr>
          <w:bCs/>
          <w:b/>
        </w:rPr>
        <w:t xml:space="preserve">6. Резонансные кривые</w:t>
      </w:r>
    </w:p>
    <w:p>
      <w:pPr>
        <w:pStyle w:val="BodyText"/>
      </w:pPr>
      <w:r>
        <w:t xml:space="preserve">Экспериментальные точки аппроксимированы резонансной кривой (МНК, параметры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ν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ν</m:t>
                              </m:r>
                            </m:num>
                            <m:den>
                              <m:sSub>
                                <m:e>
                                  <m:r>
                                    <m:t>ν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ν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m:t>ν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амплитуда при резонансной частоте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. Аппроксимация понадобилась потому, что при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края измеренного диапазона едва доходят до уровня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и ширину кривой напрямую не отсчитать.</w:t>
      </w:r>
    </w:p>
    <w:p>
      <w:pPr>
        <w:pStyle w:val="BodyText"/>
      </w:pPr>
      <w:r>
        <w:rPr>
          <w:bCs/>
          <w:b/>
        </w:rPr>
        <w:t xml:space="preserve">Таблица 10. Параметры резонансных кривых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В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кГц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по аппроксимации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t>Δ</m:t>
              </m:r>
              <m:r>
                <m:t>ν</m:t>
              </m:r>
            </m:oMath>
            <w:r>
              <w:t xml:space="preserve"> </w:t>
            </w:r>
            <w:r>
              <w:t xml:space="preserve">по точкам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t xml:space="preserve"> </w:t>
            </w:r>
            <w:r>
              <w:t xml:space="preserve">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1,78 ± 0,01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6,115 ± 0,005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 ± 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</m:t>
              </m:r>
            </m:oMath>
            <w:r>
              <w:t xml:space="preserve"> </w:t>
            </w:r>
            <w:r>
              <w:t xml:space="preserve">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3,25 ± 0,04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6,107 ± 0,004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14,4 ± 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13,8</w:t>
            </w:r>
          </w:p>
        </w:tc>
      </w:tr>
    </w:tbl>
    <w:p>
      <w:pPr>
        <w:pStyle w:val="BodyText"/>
      </w:pPr>
      <w:r>
        <w:drawing>
          <wp:inline>
            <wp:extent cx="4846320" cy="313146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13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3. Резонансные кривые</w:t>
      </w:r>
      <w:r>
        <w:t xml:space="preserve"> </w:t>
      </w:r>
      <m:oMath>
        <m:r>
          <m:t>U</m:t>
        </m:r>
        <m:r>
          <m:rPr>
            <m:sty m:val="p"/>
          </m:rPr>
          <m:t>/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ν</m:t>
            </m:r>
            <m:r>
              <m:rPr>
                <m:sty m:val="p"/>
              </m:rPr>
              <m:t>/</m:t>
            </m:r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e>
        </m:d>
      </m:oMath>
    </w:p>
    <w:p>
      <w:pPr>
        <w:pStyle w:val="BodyText"/>
      </w:pPr>
      <w:r>
        <w:t xml:space="preserve">Для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ширина на уровне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по точкам (линейная интерполяция)</w:t>
      </w:r>
      <w:r>
        <w:t xml:space="preserve"> </w:t>
      </w:r>
      <m:oMath>
        <m:r>
          <m:t>2</m:t>
        </m:r>
        <m:r>
          <m:t>Δ</m:t>
        </m:r>
        <m:r>
          <m:t>ν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328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890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438</m:t>
        </m:r>
      </m:oMath>
      <w:r>
        <w:t xml:space="preserve"> </w:t>
      </w:r>
      <w:r>
        <w:t xml:space="preserve">кГц, что согласуется с аппроксимацией. Резонансная частота, рассчитанная с учётом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, равна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Σ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09</m:t>
          </m:r>
          <m:r>
            <m:t> </m:t>
          </m:r>
          <m:r>
            <m:rPr>
              <m:nor/>
              <m:sty m:val="p"/>
            </m:rPr>
            <m:t>кГц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Она совпадает с найденными 6,107 и 6,115 кГц с точностью 0,3 %. Расчёт без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давал 6,5 кГц, и именно поэтому резонанс на установке нашёлся на 6,10 кГц.</w:t>
      </w:r>
    </w:p>
    <w:p>
      <w:pPr>
        <w:pStyle w:val="BodyText"/>
      </w:pPr>
      <w:r>
        <w:t xml:space="preserve">Добротность по ФЧХ не определялась: сдвиг фаз в п. 2.5.7 не измерялся.</w:t>
      </w:r>
    </w:p>
    <w:p>
      <w:pPr>
        <w:pStyle w:val="BodyText"/>
      </w:pPr>
      <w:r>
        <w:rPr>
          <w:bCs/>
          <w:b/>
        </w:rPr>
        <w:t xml:space="preserve">7. Добротность по нарастанию колебаний</w:t>
      </w:r>
    </w:p>
    <w:p>
      <w:pPr>
        <w:pStyle w:val="BodyText"/>
      </w:pPr>
      <w:r>
        <w:t xml:space="preserve">Логарифмический декремент по нарастанию амплитуды: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амплитуда установившихся колебаний,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амплитуда на</w:t>
      </w:r>
      <w:r>
        <w:t xml:space="preserve"> </w:t>
      </w:r>
      <m:oMath>
        <m:r>
          <m:t>k</m:t>
        </m:r>
      </m:oMath>
      <w:r>
        <w:t xml:space="preserve">-м периоде. Так как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должен линейно убывать с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 наклоном</w:t>
      </w:r>
      <w:r>
        <w:t xml:space="preserve"> </w:t>
      </w:r>
      <m:oMath>
        <m:r>
          <m:rPr>
            <m:sty m:val="p"/>
          </m:rPr>
          <m:t>−</m:t>
        </m:r>
        <m:r>
          <m:t>Θ</m:t>
        </m:r>
      </m:oMath>
      <w:r>
        <w:t xml:space="preserve">, вместо отдельных пар строим зависимость по всем точкам (рис. 4).</w:t>
      </w:r>
    </w:p>
    <w:p>
      <w:pPr>
        <w:pStyle w:val="BodyText"/>
      </w:pPr>
      <w:r>
        <w:drawing>
          <wp:inline>
            <wp:extent cx="4572000" cy="3048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4. Нарастание вынужденных колебаний в резонансе</w:t>
      </w:r>
    </w:p>
    <w:p>
      <w:pPr>
        <w:pStyle w:val="BodyText"/>
      </w:pPr>
      <w:r>
        <w:rPr>
          <w:bCs/>
          <w:b/>
        </w:rPr>
        <w:t xml:space="preserve">Таблица 11. Декремент по нарастанию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пары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t xml:space="preserve"> </w:t>
            </w:r>
            <w:r>
              <w:t xml:space="preserve">по парам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t xml:space="preserve"> </w:t>
            </w:r>
            <w:r>
              <w:t xml:space="preserve">по МНК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t xml:space="preserve"> </w:t>
            </w:r>
            <w:r>
              <w:t xml:space="preserve">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(2,4), (3,5), (2,6), (4,7)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0,34; 0,34; 0,30; 0,27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0,31 ± 0,03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 ± 0,9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</m:t>
              </m:r>
            </m:oMath>
            <w:r>
              <w:t xml:space="preserve"> </w:t>
            </w:r>
            <w:r>
              <w:t xml:space="preserve">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(2,4), (3,5), (2,6), (4,8)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0,21; 0,22; 0,21; 0,22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0,21 ± 0,01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14,8 ± 0,6</w:t>
            </w:r>
          </w:p>
        </w:tc>
      </w:tr>
    </w:tbl>
    <w:p>
      <w:pPr>
        <w:pStyle w:val="BodyText"/>
      </w:pPr>
      <w:r>
        <w:t xml:space="preserve">Погрешность каждой точки рис. 4 получена из</w:t>
      </w:r>
      <w:r>
        <w:t xml:space="preserve"> </w:t>
      </w:r>
      <m:oMath>
        <m:r>
          <m:t>Δ</m:t>
        </m:r>
        <m:r>
          <m:t>U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мВ для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(шаг курсора на 1 В/дел).</w:t>
      </w:r>
    </w:p>
    <w:p>
      <w:pPr>
        <w:pStyle w:val="BodyText"/>
      </w:pPr>
      <w:r>
        <w:t xml:space="preserve">Для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точки ложатся на прямую хорошо, а пары дают одинаковый декремент. Для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декремент по парам заметно падает с ростом</w:t>
      </w:r>
      <w:r>
        <w:t xml:space="preserve"> </w:t>
      </w:r>
      <m:oMath>
        <m:r>
          <m:t>k</m:t>
        </m:r>
      </m:oMath>
      <w:r>
        <w:t xml:space="preserve">. Скорее всего,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70</m:t>
        </m:r>
      </m:oMath>
      <w:r>
        <w:t xml:space="preserve"> </w:t>
      </w:r>
      <w:r>
        <w:t xml:space="preserve">В измерено чуть ниже реального: при занижении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разности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на поздних периодах уменьшаются сильнее всего, и наклон искажается. Поэтому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по нарастанию для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получилась завышенной по сравнению с остальными методами.</w:t>
      </w:r>
    </w:p>
    <w:p>
      <w:pPr>
        <w:pStyle w:val="BodyText"/>
      </w:pPr>
      <w:r>
        <w:t xml:space="preserve">Добротность по затуханию колебаний не определялась: затухание после окончания цуга (п. 2.6.8–9) не измерялось.</w:t>
      </w:r>
    </w:p>
    <w:p>
      <w:pPr>
        <w:pStyle w:val="BodyText"/>
      </w:pPr>
      <w:r>
        <w:rPr>
          <w:bCs/>
          <w:b/>
        </w:rPr>
        <w:t xml:space="preserve">8. Биения</w:t>
      </w:r>
    </w:p>
    <w:p>
      <w:pPr>
        <w:pStyle w:val="BodyText"/>
      </w:pPr>
      <w:r>
        <w:t xml:space="preserve">При отстройке генератора от резонанса (6,39 и 6,89 кГц) в начале цуга видны биения. Это сумма вынужденных колебаний на частоте генератора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и затухающих собственных колебаний на частоте</w:t>
      </w:r>
      <w:r>
        <w:t xml:space="preserve"> </w:t>
      </w:r>
      <m:oMath>
        <m:sSub>
          <m:e>
            <m:r>
              <m:t>ν</m:t>
            </m:r>
          </m:e>
          <m:sub>
            <m:r>
              <m:t>0</m:t>
            </m:r>
          </m:sub>
        </m:sSub>
      </m:oMath>
      <w:r>
        <w:t xml:space="preserve">, огибающая которых пульсирует с разностной частотой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ν</m:t>
            </m:r>
            <m:r>
              <m:rPr>
                <m:sty m:val="p"/>
              </m:rPr>
              <m:t>−</m:t>
            </m:r>
            <m:sSub>
              <m:e>
                <m:r>
                  <m:t>ν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 Для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39</m:t>
        </m:r>
      </m:oMath>
      <w:r>
        <w:t xml:space="preserve"> </w:t>
      </w:r>
      <w:r>
        <w:t xml:space="preserve">кГц это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29</m:t>
        </m:r>
      </m:oMath>
      <w:r>
        <w:t xml:space="preserve"> </w:t>
      </w:r>
      <w:r>
        <w:t xml:space="preserve">кГц (период биений около 3,4 мс), для 6,89 кГц —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79</m:t>
        </m:r>
      </m:oMath>
      <w:r>
        <w:t xml:space="preserve"> </w:t>
      </w:r>
      <w:r>
        <w:t xml:space="preserve">кГц (около 1,3 мс). После того как собственные колебания затухают (время порядка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, где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затухания), биения исчезают и остаются синусоидальные колебания с частотой генератора.</w:t>
      </w:r>
    </w:p>
    <w:p>
      <w:pPr>
        <w:pStyle w:val="BodyText"/>
      </w:pPr>
      <w:r>
        <w:rPr>
          <w:bCs/>
          <w:b/>
        </w:rPr>
        <w:t xml:space="preserve">9. Сводная таблица добротностей</w:t>
      </w:r>
    </w:p>
    <w:tbl>
      <w:tblPr>
        <w:tblStyle w:val="Table"/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4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Спираль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АЧХ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ФЧХ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Нарастание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Затухание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t xml:space="preserve"> </w:t>
            </w:r>
            <w:r>
              <w:t xml:space="preserve">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7,3 ± 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 ± 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 ± 0,2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 ± 0,9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</m:t>
              </m:r>
            </m:oMath>
            <w:r>
              <w:t xml:space="preserve"> </w:t>
            </w:r>
            <w:r>
              <w:t xml:space="preserve">кОм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14,1 ± 1,4*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15,4 ± 1,9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14,4 ± 0,4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14,8 ± 0,6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* по точке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21</m:t>
        </m:r>
      </m:oMath>
      <w:r>
        <w:t xml:space="preserve"> </w:t>
      </w:r>
      <w:r>
        <w:t xml:space="preserve">кОм.</w:t>
      </w:r>
    </w:p>
    <w:p>
      <w:pPr>
        <w:pStyle w:val="BodyText"/>
      </w:pPr>
      <w:r>
        <w:t xml:space="preserve">Для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все экспериментальные методы дают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14</m:t>
        </m:r>
      </m:oMath>
      <w:r>
        <w:t xml:space="preserve">–</w:t>
      </w:r>
      <m:oMath>
        <m:r>
          <m:t>15</m:t>
        </m:r>
      </m:oMath>
      <w:r>
        <w:t xml:space="preserve"> </w:t>
      </w:r>
      <w:r>
        <w:t xml:space="preserve">и согласуются между собой в пределах погрешности. Для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согласуются три метода (декремент, спираль, АЧХ),</w:t>
      </w:r>
      <w:r>
        <w:t xml:space="preserve"> </w:t>
      </w:r>
      <m:oMath>
        <m:r>
          <m:t>Q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,</m:t>
        </m:r>
        <m:r>
          <m:t>2</m:t>
        </m:r>
      </m:oMath>
      <w:r>
        <w:t xml:space="preserve">, а нарастание выбивается по причине, описанной в п. 7. Самым точным оказался метод АЧХ: в нём используются все точки кривой, а не две амплитуды. Теоретическое значение во всех случаях выше измеренного на 15–20 %. Это то же самое расхождение, что и для</w:t>
      </w:r>
      <w:r>
        <w:t xml:space="preserve"> </w:t>
      </w:r>
      <m:oMath>
        <m:sSub>
          <m:e>
            <m:r>
              <m:t>R</m:t>
            </m:r>
          </m:e>
          <m:sub>
            <m:r>
              <m:t>к</m:t>
            </m:r>
            <m:r>
              <m:t>р</m:t>
            </m:r>
          </m:sub>
        </m:sSub>
      </m:oMath>
      <w:r>
        <w:t xml:space="preserve">: реальные потери в контуре больше, чем дают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, измеренное на 1,5 кГц.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2026-10-12T17:06:36Z</dcterms:created>
  <dcterms:modified xsi:type="dcterms:W3CDTF">2026-10-12T17:06:36Z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