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E3A8A"/>
          <w:sz w:val="38"/>
          <w:szCs w:val="38"/>
        </w:rPr>
        <w:t xml:space="preserve">GESTOCK RETAIL &amp; SaaS CLOUD</w:t>
      </w:r>
    </w:p>
    <w:p>
      <w:pPr>
        <w:spacing w:after="150" w:before="0"/>
        <w:jc w:val="center"/>
      </w:pPr>
      <w:r>
        <w:rPr>
          <w:rFonts w:ascii="Calibri" w:cs="Calibri" w:eastAsia="Calibri" w:hAnsi="Calibri"/>
          <w:i/>
          <w:iCs/>
          <w:color w:val="64748B"/>
          <w:sz w:val="22"/>
          <w:szCs w:val="22"/>
        </w:rPr>
        <w:t xml:space="preserve">Manual Maestro de Arquitectura de Software, Estructura Backend/Frontend, Detalle Exhaustivo de Funcionalidades y Cumplimiento Legal Chileno</w:t>
      </w:r>
    </w:p>
    <w:p>
      <w:pPr>
        <w:spacing w:after="300" w:before="0"/>
        <w:jc w:val="center"/>
      </w:pPr>
      <w:r>
        <w:rPr>
          <w:rFonts w:ascii="Calibri" w:cs="Calibri" w:eastAsia="Calibri" w:hAnsi="Calibri"/>
          <w:b/>
          <w:bCs/>
          <w:color w:val="0369A1"/>
          <w:sz w:val="19"/>
          <w:szCs w:val="19"/>
        </w:rPr>
        <w:t xml:space="preserve">Versión: 2.1.0 Production-Ready | Entorno: Híbrido Offline-First (SQLite Local + PostgreSQL Cloud) | Fecha: Septiembre 2026</w:t>
      </w:r>
    </w:p>
    <w:p>
      <w:pPr>
        <w:pStyle w:val="Heading1"/>
        <w:spacing w:after="150" w:before="400"/>
      </w:pPr>
      <w:r>
        <w:t xml:space="preserve">1. Visión General del Sistema y Filosofía Arquitectónica</w:t>
      </w:r>
    </w:p>
    <w:p>
      <w:pPr>
        <w:spacing w:after="60" w:before="60"/>
      </w:pPr>
      <w:r>
        <w:rPr>
          <w:rFonts w:ascii="Calibri" w:cs="Calibri" w:eastAsia="Calibri" w:hAnsi="Calibri"/>
          <w:color w:val="1E293B"/>
          <w:sz w:val="22"/>
          <w:szCs w:val="22"/>
        </w:rPr>
        <w:t xml:space="preserve">GesTock es una plataforma empresarial integral de Punto de Venta (POS), administración comercial, facturación electrónica nativa e inteligencia predictiva de inventarios. Su propósito de ingeniería es resolver las problemáticas críticas del comercio minorista chileno (minimarkets, almacenes de barrio, botillerías, rotiserías y cadenas de retail), donde la velocidad de atención, la tolerancia absoluta a cortes de internet y el cumplimiento legal fiscal y sanitario son mandatorios.</w:t>
      </w:r>
    </w:p>
    <w:p>
      <w:pPr>
        <w:spacing w:after="60" w:before="60"/>
      </w:pPr>
      <w:r>
        <w:rPr>
          <w:rFonts w:ascii="Calibri" w:cs="Calibri" w:eastAsia="Calibri" w:hAnsi="Calibri"/>
          <w:color w:val="1E293B"/>
          <w:sz w:val="22"/>
          <w:szCs w:val="22"/>
        </w:rPr>
        <w:t xml:space="preserve">Para alcanzar disponibilidad del 100% y tiempos de respuesta sub-milisegundo en la caja registradora, GesTock fue concebido bajo el paradigma Offline-First con arquitectura de Persistencia Dual:</w:t>
      </w:r>
    </w:p>
    <w:p>
      <w:pPr>
        <w:pStyle w:val="ListParagraph"/>
        <w:numPr>
          <w:ilvl w:val="0"/>
          <w:numId w:val="1"/>
        </w:numPr>
        <w:spacing w:after="40" w:before="40"/>
      </w:pPr>
      <w:r>
        <w:rPr>
          <w:rFonts w:ascii="Calibri" w:cs="Calibri" w:eastAsia="Calibri" w:hAnsi="Calibri"/>
          <w:b/>
          <w:bCs/>
          <w:color w:val="1E293B"/>
          <w:sz w:val="22"/>
          <w:szCs w:val="22"/>
        </w:rPr>
        <w:t xml:space="preserve">1. Persistencia Local Síncrona (Tienda):</w:t>
      </w:r>
      <w:r>
        <w:rPr>
          <w:rFonts w:ascii="Calibri" w:cs="Calibri" w:eastAsia="Calibri" w:hAnsi="Calibri"/>
          <w:color w:val="1E293B"/>
          <w:sz w:val="22"/>
          <w:szCs w:val="22"/>
        </w:rPr>
        <w:t xml:space="preserve"> Cada terminal de caja ejecuta un motor local empotrado SQLite configurado con modo WAL (Write-Ahead Logging). Toda lectura de catálogo y escritura de venta se realiza de manera síncrona y atómica (ACID) en disco local. La caja nunca se congela ni espera por llamadas de red.</w:t>
      </w:r>
    </w:p>
    <w:p>
      <w:pPr>
        <w:pStyle w:val="ListParagraph"/>
        <w:numPr>
          <w:ilvl w:val="0"/>
          <w:numId w:val="1"/>
        </w:numPr>
        <w:spacing w:after="40" w:before="40"/>
      </w:pPr>
      <w:r>
        <w:rPr>
          <w:rFonts w:ascii="Calibri" w:cs="Calibri" w:eastAsia="Calibri" w:hAnsi="Calibri"/>
          <w:b/>
          <w:bCs/>
          <w:color w:val="1E293B"/>
          <w:sz w:val="22"/>
          <w:szCs w:val="22"/>
        </w:rPr>
        <w:t xml:space="preserve">2. Persistencia Cloud Asíncrona (SaaS):</w:t>
      </w:r>
      <w:r>
        <w:rPr>
          <w:rFonts w:ascii="Calibri" w:cs="Calibri" w:eastAsia="Calibri" w:hAnsi="Calibri"/>
          <w:color w:val="1E293B"/>
          <w:sz w:val="22"/>
          <w:szCs w:val="22"/>
        </w:rPr>
        <w:t xml:space="preserve"> Una base de datos relacional PostgreSQL multi-tenant centraliza las transacciones de todas las sucursales, administra los folios de facturación, almacena el catálogo maestro consolidado y alimenta el motor de inteligencia de negocios y reportabilidad fiscal ante el SII.</w:t>
      </w:r>
    </w:p>
    <w:p>
      <w:pPr>
        <w:pStyle w:val="ListParagraph"/>
        <w:numPr>
          <w:ilvl w:val="0"/>
          <w:numId w:val="1"/>
        </w:numPr>
        <w:spacing w:after="40" w:before="40"/>
      </w:pPr>
      <w:r>
        <w:rPr>
          <w:rFonts w:ascii="Calibri" w:cs="Calibri" w:eastAsia="Calibri" w:hAnsi="Calibri"/>
          <w:b/>
          <w:bCs/>
          <w:color w:val="1E293B"/>
          <w:sz w:val="22"/>
          <w:szCs w:val="22"/>
        </w:rPr>
        <w:t xml:space="preserve">3. Sincronización Tolerante a Fallas:</w:t>
      </w:r>
      <w:r>
        <w:rPr>
          <w:rFonts w:ascii="Calibri" w:cs="Calibri" w:eastAsia="Calibri" w:hAnsi="Calibri"/>
          <w:color w:val="1E293B"/>
          <w:sz w:val="22"/>
          <w:szCs w:val="22"/>
        </w:rPr>
        <w:t xml:space="preserve"> Un servicio de sincronización en segundo plano con control de marcas de agua (is_dirty, sync_status, last_synced_at) se encarga de subir las ventas retenidas (Push) y descargar actualizaciones de precios o productos (Pull). Si el enlace de fibra o 4G se interrumpe, el POS opera de forma autónoma indefinidamente, sincronizándose automáticamente al volver la 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9FF" w:val="clear"/>
            <w:tcMar>
              <w:top w:type="dxa" w:w="140"/>
              <w:left w:type="dxa" w:w="180"/>
              <w:bottom w:type="dxa" w:w="140"/>
              <w:right w:type="dxa" w:w="180"/>
            </w:tcMar>
          </w:tcPr>
          <w:p>
            <w:pPr>
              <w:spacing w:after="40" w:before="40"/>
            </w:pPr>
            <w:r>
              <w:rPr>
                <w:rFonts w:ascii="Calibri" w:cs="Calibri" w:eastAsia="Calibri" w:hAnsi="Calibri"/>
                <w:b/>
                <w:bCs/>
                <w:color w:val="0369A1"/>
                <w:sz w:val="20"/>
                <w:szCs w:val="20"/>
              </w:rPr>
              <w:t xml:space="preserve">🛡️ Garantía Operativa de Caja: </w:t>
            </w:r>
            <w:r>
              <w:rPr>
                <w:rFonts w:ascii="Calibri" w:cs="Calibri" w:eastAsia="Calibri" w:hAnsi="Calibri"/>
                <w:color w:val="1E293B"/>
                <w:sz w:val="20"/>
                <w:szCs w:val="20"/>
              </w:rPr>
              <w:t xml:space="preserve">En GesTock, una venta en efectivo o con tarjeta nunca se cae por problemas de internet. El cobro local siempre se aprueba y se respalda físicamente de inmediato.</w:t>
            </w:r>
          </w:p>
        </w:tc>
      </w:tr>
    </w:tbl>
    <w:p>
      <w:pPr>
        <w:pStyle w:val="Heading1"/>
        <w:spacing w:after="150" w:before="400"/>
      </w:pPr>
      <w:r>
        <w:t xml:space="preserve">2. Estructura Arquitectónica Detallada del Backend</w:t>
      </w:r>
    </w:p>
    <w:p>
      <w:pPr>
        <w:spacing w:after="60" w:before="60"/>
      </w:pPr>
      <w:r>
        <w:rPr>
          <w:rFonts w:ascii="Calibri" w:cs="Calibri" w:eastAsia="Calibri" w:hAnsi="Calibri"/>
          <w:color w:val="1E293B"/>
          <w:sz w:val="22"/>
          <w:szCs w:val="22"/>
        </w:rPr>
        <w:t xml:space="preserve">El backend de GesTock está desarrollado sobre Node.js 24 LTS utilizando TypeScript estricto con compilación a JavaScript moderno. Su diseño modular desacopla la lógica de transporte (Express Routers) de los servicios de dominio, asegurando alta cohesión y bajo acoplamiento.</w:t>
      </w:r>
    </w:p>
    <w:p>
      <w:pPr>
        <w:pStyle w:val="Heading2"/>
        <w:spacing w:after="100" w:before="300"/>
      </w:pPr>
      <w:r>
        <w:t xml:space="preserve">2.1. Árbol de Directorios y Archivos del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backend/</w:t>
            </w:r>
          </w:p>
          <w:p>
            <w:pPr>
              <w:spacing w:after="15" w:before="15"/>
            </w:pPr>
            <w:r>
              <w:rPr>
                <w:rFonts w:ascii="Consolas" w:cs="Consolas" w:eastAsia="Consolas" w:hAnsi="Consolas"/>
                <w:color w:val="0F172A"/>
                <w:sz w:val="16"/>
                <w:szCs w:val="16"/>
              </w:rPr>
              <w:t xml:space="preserve">├── public/                                  # Assets estáticos y aplicación SPA frontend</w:t>
            </w:r>
          </w:p>
          <w:p>
            <w:pPr>
              <w:spacing w:after="15" w:before="15"/>
            </w:pPr>
            <w:r>
              <w:rPr>
                <w:rFonts w:ascii="Consolas" w:cs="Consolas" w:eastAsia="Consolas" w:hAnsi="Consolas"/>
                <w:color w:val="0F172A"/>
                <w:sz w:val="16"/>
                <w:szCs w:val="16"/>
              </w:rPr>
              <w:t xml:space="preserve">│   ├── css/pos-theme.css                    # Sistema de diseño, variables y temas</w:t>
            </w:r>
          </w:p>
          <w:p>
            <w:pPr>
              <w:spacing w:after="15" w:before="15"/>
            </w:pPr>
            <w:r>
              <w:rPr>
                <w:rFonts w:ascii="Consolas" w:cs="Consolas" w:eastAsia="Consolas" w:hAnsi="Consolas"/>
                <w:color w:val="0F172A"/>
                <w:sz w:val="16"/>
                <w:szCs w:val="16"/>
              </w:rPr>
              <w:t xml:space="preserve">│   ├── js/app.js                            # Lógica cliente, estado y controladores</w:t>
            </w:r>
          </w:p>
          <w:p>
            <w:pPr>
              <w:spacing w:after="15" w:before="15"/>
            </w:pPr>
            <w:r>
              <w:rPr>
                <w:rFonts w:ascii="Consolas" w:cs="Consolas" w:eastAsia="Consolas" w:hAnsi="Consolas"/>
                <w:color w:val="0F172A"/>
                <w:sz w:val="16"/>
                <w:szCs w:val="16"/>
              </w:rPr>
              <w:t xml:space="preserve">│   └── index.html                           # Vista principal SPA con 11 pestañas</w:t>
            </w:r>
          </w:p>
          <w:p>
            <w:pPr>
              <w:spacing w:after="15" w:before="15"/>
            </w:pPr>
            <w:r>
              <w:rPr>
                <w:rFonts w:ascii="Consolas" w:cs="Consolas" w:eastAsia="Consolas" w:hAnsi="Consolas"/>
                <w:color w:val="0F172A"/>
                <w:sz w:val="16"/>
                <w:szCs w:val="16"/>
              </w:rPr>
              <w:t xml:space="preserve">├── src/</w:t>
            </w:r>
          </w:p>
          <w:p>
            <w:pPr>
              <w:spacing w:after="15" w:before="15"/>
            </w:pPr>
            <w:r>
              <w:rPr>
                <w:rFonts w:ascii="Consolas" w:cs="Consolas" w:eastAsia="Consolas" w:hAnsi="Consolas"/>
                <w:color w:val="0F172A"/>
                <w:sz w:val="16"/>
                <w:szCs w:val="16"/>
              </w:rPr>
              <w:t xml:space="preserve">│   ├── index.ts                             # Servidor Express, middlewares y arranque</w:t>
            </w:r>
          </w:p>
          <w:p>
            <w:pPr>
              <w:spacing w:after="15" w:before="15"/>
            </w:pPr>
            <w:r>
              <w:rPr>
                <w:rFonts w:ascii="Consolas" w:cs="Consolas" w:eastAsia="Consolas" w:hAnsi="Consolas"/>
                <w:color w:val="0F172A"/>
                <w:sz w:val="16"/>
                <w:szCs w:val="16"/>
              </w:rPr>
              <w:t xml:space="preserve">│   ├── routes/                              # Enrutadores REST API (Capa de Transporte)</w:t>
            </w:r>
          </w:p>
          <w:p>
            <w:pPr>
              <w:spacing w:after="15" w:before="15"/>
            </w:pPr>
            <w:r>
              <w:rPr>
                <w:rFonts w:ascii="Consolas" w:cs="Consolas" w:eastAsia="Consolas" w:hAnsi="Consolas"/>
                <w:color w:val="0F172A"/>
                <w:sz w:val="16"/>
                <w:szCs w:val="16"/>
              </w:rPr>
              <w:t xml:space="preserve">│   │   ├── pos.routes.ts                    # Checkout, búsqueda, catálogo, sync y devoluciones</w:t>
            </w:r>
          </w:p>
          <w:p>
            <w:pPr>
              <w:spacing w:after="15" w:before="15"/>
            </w:pPr>
            <w:r>
              <w:rPr>
                <w:rFonts w:ascii="Consolas" w:cs="Consolas" w:eastAsia="Consolas" w:hAnsi="Consolas"/>
                <w:color w:val="0F172A"/>
                <w:sz w:val="16"/>
                <w:szCs w:val="16"/>
              </w:rPr>
              <w:t xml:space="preserve">│   │   ├── dashboard.routes.ts              # Métricas, KPIs globales y analítica Chart.js</w:t>
            </w:r>
          </w:p>
          <w:p>
            <w:pPr>
              <w:spacing w:after="15" w:before="15"/>
            </w:pPr>
            <w:r>
              <w:rPr>
                <w:rFonts w:ascii="Consolas" w:cs="Consolas" w:eastAsia="Consolas" w:hAnsi="Consolas"/>
                <w:color w:val="0F172A"/>
                <w:sz w:val="16"/>
                <w:szCs w:val="16"/>
              </w:rPr>
              <w:t xml:space="preserve">│   │   ├── caja.routes.ts                   # Arqueo ciego, sesiones y reporte Z térmico</w:t>
            </w:r>
          </w:p>
          <w:p>
            <w:pPr>
              <w:spacing w:after="15" w:before="15"/>
            </w:pPr>
            <w:r>
              <w:rPr>
                <w:rFonts w:ascii="Consolas" w:cs="Consolas" w:eastAsia="Consolas" w:hAnsi="Consolas"/>
                <w:color w:val="0F172A"/>
                <w:sz w:val="16"/>
                <w:szCs w:val="16"/>
              </w:rPr>
              <w:t xml:space="preserve">│   │   ├── dte.routes.ts                    # Boletas, Facturas, Guías, NC, RCOF y F29</w:t>
            </w:r>
          </w:p>
          <w:p>
            <w:pPr>
              <w:spacing w:after="15" w:before="15"/>
            </w:pPr>
            <w:r>
              <w:rPr>
                <w:rFonts w:ascii="Consolas" w:cs="Consolas" w:eastAsia="Consolas" w:hAnsi="Consolas"/>
                <w:color w:val="0F172A"/>
                <w:sz w:val="16"/>
                <w:szCs w:val="16"/>
              </w:rPr>
              <w:t xml:space="preserve">│   │   ├── supplier.routes.ts               # Proveedores y programación de visitas</w:t>
            </w:r>
          </w:p>
          <w:p>
            <w:pPr>
              <w:spacing w:after="15" w:before="15"/>
            </w:pPr>
            <w:r>
              <w:rPr>
                <w:rFonts w:ascii="Consolas" w:cs="Consolas" w:eastAsia="Consolas" w:hAnsi="Consolas"/>
                <w:color w:val="0F172A"/>
                <w:sz w:val="16"/>
                <w:szCs w:val="16"/>
              </w:rPr>
              <w:t xml:space="preserve">│   │   ├── replenishment.routes.ts          # Algoritmo ROP y despacho de órdenes</w:t>
            </w:r>
          </w:p>
          <w:p>
            <w:pPr>
              <w:spacing w:after="15" w:before="15"/>
            </w:pPr>
            <w:r>
              <w:rPr>
                <w:rFonts w:ascii="Consolas" w:cs="Consolas" w:eastAsia="Consolas" w:hAnsi="Consolas"/>
                <w:color w:val="0F172A"/>
                <w:sz w:val="16"/>
                <w:szCs w:val="16"/>
              </w:rPr>
              <w:t xml:space="preserve">│   │   ├── invoice.routes.ts                # Ingesta de facturas de compra</w:t>
            </w:r>
          </w:p>
          <w:p>
            <w:pPr>
              <w:spacing w:after="15" w:before="15"/>
            </w:pPr>
            <w:r>
              <w:rPr>
                <w:rFonts w:ascii="Consolas" w:cs="Consolas" w:eastAsia="Consolas" w:hAnsi="Consolas"/>
                <w:color w:val="0F172A"/>
                <w:sz w:val="16"/>
                <w:szCs w:val="16"/>
              </w:rPr>
              <w:t xml:space="preserve">│   │   ├── payment.routes.ts                # Procesamiento y auditoría de pasarelas</w:t>
            </w:r>
          </w:p>
          <w:p>
            <w:pPr>
              <w:spacing w:after="15" w:before="15"/>
            </w:pPr>
            <w:r>
              <w:rPr>
                <w:rFonts w:ascii="Consolas" w:cs="Consolas" w:eastAsia="Consolas" w:hAnsi="Consolas"/>
                <w:color w:val="0F172A"/>
                <w:sz w:val="16"/>
                <w:szCs w:val="16"/>
              </w:rPr>
              <w:t xml:space="preserve">│   │   ├── market.routes.ts                 # Tendencias de mercado (ML / AliExpress)</w:t>
            </w:r>
          </w:p>
          <w:p>
            <w:pPr>
              <w:spacing w:after="15" w:before="15"/>
            </w:pPr>
            <w:r>
              <w:rPr>
                <w:rFonts w:ascii="Consolas" w:cs="Consolas" w:eastAsia="Consolas" w:hAnsi="Consolas"/>
                <w:color w:val="0F172A"/>
                <w:sz w:val="16"/>
                <w:szCs w:val="16"/>
              </w:rPr>
              <w:t xml:space="preserve">│   │   ├── config.routes.ts                 # Márgenes, parámetros y respaldo legal 6 años</w:t>
            </w:r>
          </w:p>
          <w:p>
            <w:pPr>
              <w:spacing w:after="15" w:before="15"/>
            </w:pPr>
            <w:r>
              <w:rPr>
                <w:rFonts w:ascii="Consolas" w:cs="Consolas" w:eastAsia="Consolas" w:hAnsi="Consolas"/>
                <w:color w:val="0F172A"/>
                <w:sz w:val="16"/>
                <w:szCs w:val="16"/>
              </w:rPr>
              <w:t xml:space="preserve">│   │   └── sync.routes.ts                   # Ingesta Push / Pull cloud multi-tenant</w:t>
            </w:r>
          </w:p>
          <w:p>
            <w:pPr>
              <w:spacing w:after="15" w:before="15"/>
            </w:pPr>
            <w:r>
              <w:rPr>
                <w:rFonts w:ascii="Consolas" w:cs="Consolas" w:eastAsia="Consolas" w:hAnsi="Consolas"/>
                <w:color w:val="0F172A"/>
                <w:sz w:val="16"/>
                <w:szCs w:val="16"/>
              </w:rPr>
              <w:t xml:space="preserve">│   ├── dte/                                 # Motor Tributario SII y Facturación</w:t>
            </w:r>
          </w:p>
          <w:p>
            <w:pPr>
              <w:spacing w:after="15" w:before="15"/>
            </w:pPr>
            <w:r>
              <w:rPr>
                <w:rFonts w:ascii="Consolas" w:cs="Consolas" w:eastAsia="Consolas" w:hAnsi="Consolas"/>
                <w:color w:val="0F172A"/>
                <w:sz w:val="16"/>
                <w:szCs w:val="16"/>
              </w:rPr>
              <w:t xml:space="preserve">│   │   ├── dte-emitter.service.ts           # Construcción de XML, TED, timbre y tickets</w:t>
            </w:r>
          </w:p>
          <w:p>
            <w:pPr>
              <w:spacing w:after="15" w:before="15"/>
            </w:pPr>
            <w:r>
              <w:rPr>
                <w:rFonts w:ascii="Consolas" w:cs="Consolas" w:eastAsia="Consolas" w:hAnsi="Consolas"/>
                <w:color w:val="0F172A"/>
                <w:sz w:val="16"/>
                <w:szCs w:val="16"/>
              </w:rPr>
              <w:t xml:space="preserve">│   │   ├── caf-manager.service.ts           # Gestión y consumo atómico de folios CAF</w:t>
            </w:r>
          </w:p>
          <w:p>
            <w:pPr>
              <w:spacing w:after="15" w:before="15"/>
            </w:pPr>
            <w:r>
              <w:rPr>
                <w:rFonts w:ascii="Consolas" w:cs="Consolas" w:eastAsia="Consolas" w:hAnsi="Consolas"/>
                <w:color w:val="0F172A"/>
                <w:sz w:val="16"/>
                <w:szCs w:val="16"/>
              </w:rPr>
              <w:t xml:space="preserve">│   │   ├── xml-signer.service.ts            # Firma digital RSA-SHA1 con certificado X.509</w:t>
            </w:r>
          </w:p>
          <w:p>
            <w:pPr>
              <w:spacing w:after="15" w:before="15"/>
            </w:pPr>
            <w:r>
              <w:rPr>
                <w:rFonts w:ascii="Consolas" w:cs="Consolas" w:eastAsia="Consolas" w:hAnsi="Consolas"/>
                <w:color w:val="0F172A"/>
                <w:sz w:val="16"/>
                <w:szCs w:val="16"/>
              </w:rPr>
              <w:t xml:space="preserve">│   │   ├── rcof.service.ts                  # Generador del Resumen Diario de Ventas</w:t>
            </w:r>
          </w:p>
          <w:p>
            <w:pPr>
              <w:spacing w:after="15" w:before="15"/>
            </w:pPr>
            <w:r>
              <w:rPr>
                <w:rFonts w:ascii="Consolas" w:cs="Consolas" w:eastAsia="Consolas" w:hAnsi="Consolas"/>
                <w:color w:val="0F172A"/>
                <w:sz w:val="16"/>
                <w:szCs w:val="16"/>
              </w:rPr>
              <w:t xml:space="preserve">│   │   ├── f29-report.service.ts            # Pre-Liquidación mensual de impuestos</w:t>
            </w:r>
          </w:p>
          <w:p>
            <w:pPr>
              <w:spacing w:after="15" w:before="15"/>
            </w:pPr>
            <w:r>
              <w:rPr>
                <w:rFonts w:ascii="Consolas" w:cs="Consolas" w:eastAsia="Consolas" w:hAnsi="Consolas"/>
                <w:color w:val="0F172A"/>
                <w:sz w:val="16"/>
                <w:szCs w:val="16"/>
              </w:rPr>
              <w:t xml:space="preserve">│   │   ├── sii-certification.service.ts     # Generador de sets de homologación SII</w:t>
            </w:r>
          </w:p>
          <w:p>
            <w:pPr>
              <w:spacing w:after="15" w:before="15"/>
            </w:pPr>
            <w:r>
              <w:rPr>
                <w:rFonts w:ascii="Consolas" w:cs="Consolas" w:eastAsia="Consolas" w:hAnsi="Consolas"/>
                <w:color w:val="0F172A"/>
                <w:sz w:val="16"/>
                <w:szCs w:val="16"/>
              </w:rPr>
              <w:t xml:space="preserve">│   │   └── types.ts                         # Tipos, esquemas y códigos de impuestos (ILA)</w:t>
            </w:r>
          </w:p>
          <w:p>
            <w:pPr>
              <w:spacing w:after="15" w:before="15"/>
            </w:pPr>
            <w:r>
              <w:rPr>
                <w:rFonts w:ascii="Consolas" w:cs="Consolas" w:eastAsia="Consolas" w:hAnsi="Consolas"/>
                <w:color w:val="0F172A"/>
                <w:sz w:val="16"/>
                <w:szCs w:val="16"/>
              </w:rPr>
              <w:t xml:space="preserve">│   ├── caja/                                # Arqueo y Control de Turnos</w:t>
            </w:r>
          </w:p>
          <w:p>
            <w:pPr>
              <w:spacing w:after="15" w:before="15"/>
            </w:pPr>
            <w:r>
              <w:rPr>
                <w:rFonts w:ascii="Consolas" w:cs="Consolas" w:eastAsia="Consolas" w:hAnsi="Consolas"/>
                <w:color w:val="0F172A"/>
                <w:sz w:val="16"/>
                <w:szCs w:val="16"/>
              </w:rPr>
              <w:t xml:space="preserve">│   │   └── cierre-caja.service.ts           # Cuadratura ciega, movimientos y reporte Z</w:t>
            </w:r>
          </w:p>
          <w:p>
            <w:pPr>
              <w:spacing w:after="15" w:before="15"/>
            </w:pPr>
            <w:r>
              <w:rPr>
                <w:rFonts w:ascii="Consolas" w:cs="Consolas" w:eastAsia="Consolas" w:hAnsi="Consolas"/>
                <w:color w:val="0F172A"/>
                <w:sz w:val="16"/>
                <w:szCs w:val="16"/>
              </w:rPr>
              <w:t xml:space="preserve">│   ├── analytics/                           # Analítica de Negocio</w:t>
            </w:r>
          </w:p>
          <w:p>
            <w:pPr>
              <w:spacing w:after="15" w:before="15"/>
            </w:pPr>
            <w:r>
              <w:rPr>
                <w:rFonts w:ascii="Consolas" w:cs="Consolas" w:eastAsia="Consolas" w:hAnsi="Consolas"/>
                <w:color w:val="0F172A"/>
                <w:sz w:val="16"/>
                <w:szCs w:val="16"/>
              </w:rPr>
              <w:t xml:space="preserve">│   │   └── dashboard.service.ts             # Métricas agregadas temporales y KPIs</w:t>
            </w:r>
          </w:p>
          <w:p>
            <w:pPr>
              <w:spacing w:after="15" w:before="15"/>
            </w:pPr>
            <w:r>
              <w:rPr>
                <w:rFonts w:ascii="Consolas" w:cs="Consolas" w:eastAsia="Consolas" w:hAnsi="Consolas"/>
                <w:color w:val="0F172A"/>
                <w:sz w:val="16"/>
                <w:szCs w:val="16"/>
              </w:rPr>
              <w:t xml:space="preserve">│   ├── payments/                            # Pasarelas de Pago (PCI-DSS v4.0)</w:t>
            </w:r>
          </w:p>
          <w:p>
            <w:pPr>
              <w:spacing w:after="15" w:before="15"/>
            </w:pPr>
            <w:r>
              <w:rPr>
                <w:rFonts w:ascii="Consolas" w:cs="Consolas" w:eastAsia="Consolas" w:hAnsi="Consolas"/>
                <w:color w:val="0F172A"/>
                <w:sz w:val="16"/>
                <w:szCs w:val="16"/>
              </w:rPr>
              <w:t xml:space="preserve">│   │   ├── payment-dispatcher.service.ts    # Orquestador y selector de pasarela</w:t>
            </w:r>
          </w:p>
          <w:p>
            <w:pPr>
              <w:spacing w:after="15" w:before="15"/>
            </w:pPr>
            <w:r>
              <w:rPr>
                <w:rFonts w:ascii="Consolas" w:cs="Consolas" w:eastAsia="Consolas" w:hAnsi="Consolas"/>
                <w:color w:val="0F172A"/>
                <w:sz w:val="16"/>
                <w:szCs w:val="16"/>
              </w:rPr>
              <w:t xml:space="preserve">│   │   ├── payment-gateway.interface.ts     # Contrato unificado de pasarelas</w:t>
            </w:r>
          </w:p>
          <w:p>
            <w:pPr>
              <w:spacing w:after="15" w:before="15"/>
            </w:pPr>
            <w:r>
              <w:rPr>
                <w:rFonts w:ascii="Consolas" w:cs="Consolas" w:eastAsia="Consolas" w:hAnsi="Consolas"/>
                <w:color w:val="0F172A"/>
                <w:sz w:val="16"/>
                <w:szCs w:val="16"/>
              </w:rPr>
              <w:t xml:space="preserve">│   │   ├── rutpay.gateway.ts                # Pasarela BancoEstado / CuentaRUT</w:t>
            </w:r>
          </w:p>
          <w:p>
            <w:pPr>
              <w:spacing w:after="15" w:before="15"/>
            </w:pPr>
            <w:r>
              <w:rPr>
                <w:rFonts w:ascii="Consolas" w:cs="Consolas" w:eastAsia="Consolas" w:hAnsi="Consolas"/>
                <w:color w:val="0F172A"/>
                <w:sz w:val="16"/>
                <w:szCs w:val="16"/>
              </w:rPr>
              <w:t xml:space="preserve">│   │   ├── transbank.gateway.ts             # Webpay Plus y POS físico Redcompra</w:t>
            </w:r>
          </w:p>
          <w:p>
            <w:pPr>
              <w:spacing w:after="15" w:before="15"/>
            </w:pPr>
            <w:r>
              <w:rPr>
                <w:rFonts w:ascii="Consolas" w:cs="Consolas" w:eastAsia="Consolas" w:hAnsi="Consolas"/>
                <w:color w:val="0F172A"/>
                <w:sz w:val="16"/>
                <w:szCs w:val="16"/>
              </w:rPr>
              <w:t xml:space="preserve">│   │   ├── mercadopago.gateway.ts           # Mercado Pago Checkout &amp; QR</w:t>
            </w:r>
          </w:p>
          <w:p>
            <w:pPr>
              <w:spacing w:after="15" w:before="15"/>
            </w:pPr>
            <w:r>
              <w:rPr>
                <w:rFonts w:ascii="Consolas" w:cs="Consolas" w:eastAsia="Consolas" w:hAnsi="Consolas"/>
                <w:color w:val="0F172A"/>
                <w:sz w:val="16"/>
                <w:szCs w:val="16"/>
              </w:rPr>
              <w:t xml:space="preserve">│   │   ├── sumup.gateway.ts                 # Lectores Bluetooth / USB SumUp</w:t>
            </w:r>
          </w:p>
          <w:p>
            <w:pPr>
              <w:spacing w:after="15" w:before="15"/>
            </w:pPr>
            <w:r>
              <w:rPr>
                <w:rFonts w:ascii="Consolas" w:cs="Consolas" w:eastAsia="Consolas" w:hAnsi="Consolas"/>
                <w:color w:val="0F172A"/>
                <w:sz w:val="16"/>
                <w:szCs w:val="16"/>
              </w:rPr>
              <w:t xml:space="preserve">│   │   ├── mock-payment.gateway.ts          # Emulador para pruebas automatizadas</w:t>
            </w:r>
          </w:p>
          <w:p>
            <w:pPr>
              <w:spacing w:after="15" w:before="15"/>
            </w:pPr>
            <w:r>
              <w:rPr>
                <w:rFonts w:ascii="Consolas" w:cs="Consolas" w:eastAsia="Consolas" w:hAnsi="Consolas"/>
                <w:color w:val="0F172A"/>
                <w:sz w:val="16"/>
                <w:szCs w:val="16"/>
              </w:rPr>
              <w:t xml:space="preserve">│   │   └── types.ts                         # Interfaces de pagos y transacciones</w:t>
            </w:r>
          </w:p>
          <w:p>
            <w:pPr>
              <w:spacing w:after="15" w:before="15"/>
            </w:pPr>
            <w:r>
              <w:rPr>
                <w:rFonts w:ascii="Consolas" w:cs="Consolas" w:eastAsia="Consolas" w:hAnsi="Consolas"/>
                <w:color w:val="0F172A"/>
                <w:sz w:val="16"/>
                <w:szCs w:val="16"/>
              </w:rPr>
              <w:t xml:space="preserve">│   ├── replenishment/                       # Abastecimiento Predictivo</w:t>
            </w:r>
          </w:p>
          <w:p>
            <w:pPr>
              <w:spacing w:after="15" w:before="15"/>
            </w:pPr>
            <w:r>
              <w:rPr>
                <w:rFonts w:ascii="Consolas" w:cs="Consolas" w:eastAsia="Consolas" w:hAnsi="Consolas"/>
                <w:color w:val="0F172A"/>
                <w:sz w:val="16"/>
                <w:szCs w:val="16"/>
              </w:rPr>
              <w:t xml:space="preserve">│   │   └── replenishment.service.ts         # Cálculo ROP, visitas y órdenes por email</w:t>
            </w:r>
          </w:p>
          <w:p>
            <w:pPr>
              <w:spacing w:after="15" w:before="15"/>
            </w:pPr>
            <w:r>
              <w:rPr>
                <w:rFonts w:ascii="Consolas" w:cs="Consolas" w:eastAsia="Consolas" w:hAnsi="Consolas"/>
                <w:color w:val="0F172A"/>
                <w:sz w:val="16"/>
                <w:szCs w:val="16"/>
              </w:rPr>
              <w:t xml:space="preserve">│   ├── invoices/                            # Facturas de Compra</w:t>
            </w:r>
          </w:p>
          <w:p>
            <w:pPr>
              <w:spacing w:after="15" w:before="15"/>
            </w:pPr>
            <w:r>
              <w:rPr>
                <w:rFonts w:ascii="Consolas" w:cs="Consolas" w:eastAsia="Consolas" w:hAnsi="Consolas"/>
                <w:color w:val="0F172A"/>
                <w:sz w:val="16"/>
                <w:szCs w:val="16"/>
              </w:rPr>
              <w:t xml:space="preserve">│   │   └── invoice-ingestion.service.ts     # Ingesta de compras y reposición de stock</w:t>
            </w:r>
          </w:p>
          <w:p>
            <w:pPr>
              <w:spacing w:after="15" w:before="15"/>
            </w:pPr>
            <w:r>
              <w:rPr>
                <w:rFonts w:ascii="Consolas" w:cs="Consolas" w:eastAsia="Consolas" w:hAnsi="Consolas"/>
                <w:color w:val="0F172A"/>
                <w:sz w:val="16"/>
                <w:szCs w:val="16"/>
              </w:rPr>
              <w:t xml:space="preserve">│   ├── ocr/                                 # Reconocimiento Óptico de Facturas</w:t>
            </w:r>
          </w:p>
          <w:p>
            <w:pPr>
              <w:spacing w:after="15" w:before="15"/>
            </w:pPr>
            <w:r>
              <w:rPr>
                <w:rFonts w:ascii="Consolas" w:cs="Consolas" w:eastAsia="Consolas" w:hAnsi="Consolas"/>
                <w:color w:val="0F172A"/>
                <w:sz w:val="16"/>
                <w:szCs w:val="16"/>
              </w:rPr>
              <w:t xml:space="preserve">│   │   ├── ocr-dispatcher.service.ts        # Enrutador de motores OCR</w:t>
            </w:r>
          </w:p>
          <w:p>
            <w:pPr>
              <w:spacing w:after="15" w:before="15"/>
            </w:pPr>
            <w:r>
              <w:rPr>
                <w:rFonts w:ascii="Consolas" w:cs="Consolas" w:eastAsia="Consolas" w:hAnsi="Consolas"/>
                <w:color w:val="0F172A"/>
                <w:sz w:val="16"/>
                <w:szCs w:val="16"/>
              </w:rPr>
              <w:t xml:space="preserve">│   │   ├── gemini-ocr.provider.ts           # Extracción multimodal con Gemini Vision API</w:t>
            </w:r>
          </w:p>
          <w:p>
            <w:pPr>
              <w:spacing w:after="15" w:before="15"/>
            </w:pPr>
            <w:r>
              <w:rPr>
                <w:rFonts w:ascii="Consolas" w:cs="Consolas" w:eastAsia="Consolas" w:hAnsi="Consolas"/>
                <w:color w:val="0F172A"/>
                <w:sz w:val="16"/>
                <w:szCs w:val="16"/>
              </w:rPr>
              <w:t xml:space="preserve">│   │   ├── pdf-invoice.extractor.ts         # Extractor estructurado nativo de PDF</w:t>
            </w:r>
          </w:p>
          <w:p>
            <w:pPr>
              <w:spacing w:after="15" w:before="15"/>
            </w:pPr>
            <w:r>
              <w:rPr>
                <w:rFonts w:ascii="Consolas" w:cs="Consolas" w:eastAsia="Consolas" w:hAnsi="Consolas"/>
                <w:color w:val="0F172A"/>
                <w:sz w:val="16"/>
                <w:szCs w:val="16"/>
              </w:rPr>
              <w:t xml:space="preserve">│   │   └── mock-ocr.provider.ts             # Proveedor mock para tests sin API Key</w:t>
            </w:r>
          </w:p>
          <w:p>
            <w:pPr>
              <w:spacing w:after="15" w:before="15"/>
            </w:pPr>
            <w:r>
              <w:rPr>
                <w:rFonts w:ascii="Consolas" w:cs="Consolas" w:eastAsia="Consolas" w:hAnsi="Consolas"/>
                <w:color w:val="0F172A"/>
                <w:sz w:val="16"/>
                <w:szCs w:val="16"/>
              </w:rPr>
              <w:t xml:space="preserve">│   ├── market/                              # Inteligencia de Mercado</w:t>
            </w:r>
          </w:p>
          <w:p>
            <w:pPr>
              <w:spacing w:after="15" w:before="15"/>
            </w:pPr>
            <w:r>
              <w:rPr>
                <w:rFonts w:ascii="Consolas" w:cs="Consolas" w:eastAsia="Consolas" w:hAnsi="Consolas"/>
                <w:color w:val="0F172A"/>
                <w:sz w:val="16"/>
                <w:szCs w:val="16"/>
              </w:rPr>
              <w:t xml:space="preserve">│   │   ├── market-trends.service.ts         # Comparador de precios y márgenes</w:t>
            </w:r>
          </w:p>
          <w:p>
            <w:pPr>
              <w:spacing w:after="15" w:before="15"/>
            </w:pPr>
            <w:r>
              <w:rPr>
                <w:rFonts w:ascii="Consolas" w:cs="Consolas" w:eastAsia="Consolas" w:hAnsi="Consolas"/>
                <w:color w:val="0F172A"/>
                <w:sz w:val="16"/>
                <w:szCs w:val="16"/>
              </w:rPr>
              <w:t xml:space="preserve">│   │   ├── mercadolibre.provider.ts         # Scraper/API MercadoLibre Chile</w:t>
            </w:r>
          </w:p>
          <w:p>
            <w:pPr>
              <w:spacing w:after="15" w:before="15"/>
            </w:pPr>
            <w:r>
              <w:rPr>
                <w:rFonts w:ascii="Consolas" w:cs="Consolas" w:eastAsia="Consolas" w:hAnsi="Consolas"/>
                <w:color w:val="0F172A"/>
                <w:sz w:val="16"/>
                <w:szCs w:val="16"/>
              </w:rPr>
              <w:t xml:space="preserve">│   │   └── aliexpress.provider.ts           # Scraper/API AliExpress</w:t>
            </w:r>
          </w:p>
          <w:p>
            <w:pPr>
              <w:spacing w:after="15" w:before="15"/>
            </w:pPr>
            <w:r>
              <w:rPr>
                <w:rFonts w:ascii="Consolas" w:cs="Consolas" w:eastAsia="Consolas" w:hAnsi="Consolas"/>
                <w:color w:val="0F172A"/>
                <w:sz w:val="16"/>
                <w:szCs w:val="16"/>
              </w:rPr>
              <w:t xml:space="preserve">│   ├── sync/                                # Motor de Sincronización Híbrida</w:t>
            </w:r>
          </w:p>
          <w:p>
            <w:pPr>
              <w:spacing w:after="15" w:before="15"/>
            </w:pPr>
            <w:r>
              <w:rPr>
                <w:rFonts w:ascii="Consolas" w:cs="Consolas" w:eastAsia="Consolas" w:hAnsi="Consolas"/>
                <w:color w:val="0F172A"/>
                <w:sz w:val="16"/>
                <w:szCs w:val="16"/>
              </w:rPr>
              <w:t xml:space="preserve">│   │   ├── pos-sync-engine.service.ts       # Cliente POS de sincronización Push/Pull</w:t>
            </w:r>
          </w:p>
          <w:p>
            <w:pPr>
              <w:spacing w:after="15" w:before="15"/>
            </w:pPr>
            <w:r>
              <w:rPr>
                <w:rFonts w:ascii="Consolas" w:cs="Consolas" w:eastAsia="Consolas" w:hAnsi="Consolas"/>
                <w:color w:val="0F172A"/>
                <w:sz w:val="16"/>
                <w:szCs w:val="16"/>
              </w:rPr>
              <w:t xml:space="preserve">│   │   ├── cloud-sync-receiver.service.ts   # Receptor Cloud de lotes y delta de stock</w:t>
            </w:r>
          </w:p>
          <w:p>
            <w:pPr>
              <w:spacing w:after="15" w:before="15"/>
            </w:pPr>
            <w:r>
              <w:rPr>
                <w:rFonts w:ascii="Consolas" w:cs="Consolas" w:eastAsia="Consolas" w:hAnsi="Consolas"/>
                <w:color w:val="0F172A"/>
                <w:sz w:val="16"/>
                <w:szCs w:val="16"/>
              </w:rPr>
              <w:t xml:space="preserve">│   │   ├── conflict-resolver.ts             # Resolución LWW y delta neto de inventario</w:t>
            </w:r>
          </w:p>
          <w:p>
            <w:pPr>
              <w:spacing w:after="15" w:before="15"/>
            </w:pPr>
            <w:r>
              <w:rPr>
                <w:rFonts w:ascii="Consolas" w:cs="Consolas" w:eastAsia="Consolas" w:hAnsi="Consolas"/>
                <w:color w:val="0F172A"/>
                <w:sz w:val="16"/>
                <w:szCs w:val="16"/>
              </w:rPr>
              <w:t xml:space="preserve">│   │   ├── exponential-backoff.ts           # Planificador de reintentos con jitter</w:t>
            </w:r>
          </w:p>
          <w:p>
            <w:pPr>
              <w:spacing w:after="15" w:before="15"/>
            </w:pPr>
            <w:r>
              <w:rPr>
                <w:rFonts w:ascii="Consolas" w:cs="Consolas" w:eastAsia="Consolas" w:hAnsi="Consolas"/>
                <w:color w:val="0F172A"/>
                <w:sz w:val="16"/>
                <w:szCs w:val="16"/>
              </w:rPr>
              <w:t xml:space="preserve">│   │   └── types.ts                         # Esquemas de payloads y sincronización</w:t>
            </w:r>
          </w:p>
          <w:p>
            <w:pPr>
              <w:spacing w:after="15" w:before="15"/>
            </w:pPr>
            <w:r>
              <w:rPr>
                <w:rFonts w:ascii="Consolas" w:cs="Consolas" w:eastAsia="Consolas" w:hAnsi="Consolas"/>
                <w:color w:val="0F172A"/>
                <w:sz w:val="16"/>
                <w:szCs w:val="16"/>
              </w:rPr>
              <w:t xml:space="preserve">│   ├── database/                            # Capa de Persistencia Relacional</w:t>
            </w:r>
          </w:p>
          <w:p>
            <w:pPr>
              <w:spacing w:after="15" w:before="15"/>
            </w:pPr>
            <w:r>
              <w:rPr>
                <w:rFonts w:ascii="Consolas" w:cs="Consolas" w:eastAsia="Consolas" w:hAnsi="Consolas"/>
                <w:color w:val="0F172A"/>
                <w:sz w:val="16"/>
                <w:szCs w:val="16"/>
              </w:rPr>
              <w:t xml:space="preserve">│   │   ├── sqlite/                          # Motor SQLite Local (WAL Mode)</w:t>
            </w:r>
          </w:p>
          <w:p>
            <w:pPr>
              <w:spacing w:after="15" w:before="15"/>
            </w:pPr>
            <w:r>
              <w:rPr>
                <w:rFonts w:ascii="Consolas" w:cs="Consolas" w:eastAsia="Consolas" w:hAnsi="Consolas"/>
                <w:color w:val="0F172A"/>
                <w:sz w:val="16"/>
                <w:szCs w:val="16"/>
              </w:rPr>
              <w:t xml:space="preserve">│   │   │   ├── client.ts                    # Driver better-sqlite3 con transacciones</w:t>
            </w:r>
          </w:p>
          <w:p>
            <w:pPr>
              <w:spacing w:after="15" w:before="15"/>
            </w:pPr>
            <w:r>
              <w:rPr>
                <w:rFonts w:ascii="Consolas" w:cs="Consolas" w:eastAsia="Consolas" w:hAnsi="Consolas"/>
                <w:color w:val="0F172A"/>
                <w:sz w:val="16"/>
                <w:szCs w:val="16"/>
              </w:rPr>
              <w:t xml:space="preserve">│   │   │   ├── migrator.ts                  # Migrador de esquemas locales</w:t>
            </w:r>
          </w:p>
          <w:p>
            <w:pPr>
              <w:spacing w:after="15" w:before="15"/>
            </w:pPr>
            <w:r>
              <w:rPr>
                <w:rFonts w:ascii="Consolas" w:cs="Consolas" w:eastAsia="Consolas" w:hAnsi="Consolas"/>
                <w:color w:val="0F172A"/>
                <w:sz w:val="16"/>
                <w:szCs w:val="16"/>
              </w:rPr>
              <w:t xml:space="preserve">│   │   │   └── migrations/ (001 a 009)      # Scripts SQL de evolución de esquema</w:t>
            </w:r>
          </w:p>
          <w:p>
            <w:pPr>
              <w:spacing w:after="15" w:before="15"/>
            </w:pPr>
            <w:r>
              <w:rPr>
                <w:rFonts w:ascii="Consolas" w:cs="Consolas" w:eastAsia="Consolas" w:hAnsi="Consolas"/>
                <w:color w:val="0F172A"/>
                <w:sz w:val="16"/>
                <w:szCs w:val="16"/>
              </w:rPr>
              <w:t xml:space="preserve">│   │   ├── postgres/                        # Motor PostgreSQL Cloud (Multi-Tenant)</w:t>
            </w:r>
          </w:p>
          <w:p>
            <w:pPr>
              <w:spacing w:after="15" w:before="15"/>
            </w:pPr>
            <w:r>
              <w:rPr>
                <w:rFonts w:ascii="Consolas" w:cs="Consolas" w:eastAsia="Consolas" w:hAnsi="Consolas"/>
                <w:color w:val="0F172A"/>
                <w:sz w:val="16"/>
                <w:szCs w:val="16"/>
              </w:rPr>
              <w:t xml:space="preserve">│   │   │   ├── client.ts                    # Driver pg-pool con transacciones</w:t>
            </w:r>
          </w:p>
          <w:p>
            <w:pPr>
              <w:spacing w:after="15" w:before="15"/>
            </w:pPr>
            <w:r>
              <w:rPr>
                <w:rFonts w:ascii="Consolas" w:cs="Consolas" w:eastAsia="Consolas" w:hAnsi="Consolas"/>
                <w:color w:val="0F172A"/>
                <w:sz w:val="16"/>
                <w:szCs w:val="16"/>
              </w:rPr>
              <w:t xml:space="preserve">│   │   │   ├── migrator.ts                  # Migrador de esquemas cloud</w:t>
            </w:r>
          </w:p>
          <w:p>
            <w:pPr>
              <w:spacing w:after="15" w:before="15"/>
            </w:pPr>
            <w:r>
              <w:rPr>
                <w:rFonts w:ascii="Consolas" w:cs="Consolas" w:eastAsia="Consolas" w:hAnsi="Consolas"/>
                <w:color w:val="0F172A"/>
                <w:sz w:val="16"/>
                <w:szCs w:val="16"/>
              </w:rPr>
              <w:t xml:space="preserve">│   │   │   └── migrations/ (001 a 009)      # Scripts SQL de evolución cloud</w:t>
            </w:r>
          </w:p>
          <w:p>
            <w:pPr>
              <w:spacing w:after="15" w:before="15"/>
            </w:pPr>
            <w:r>
              <w:rPr>
                <w:rFonts w:ascii="Consolas" w:cs="Consolas" w:eastAsia="Consolas" w:hAnsi="Consolas"/>
                <w:color w:val="0F172A"/>
                <w:sz w:val="16"/>
                <w:szCs w:val="16"/>
              </w:rPr>
              <w:t xml:space="preserve">│   │   ├── init-db.ts                       # Seeder e inicializador automatizado</w:t>
            </w:r>
          </w:p>
          <w:p>
            <w:pPr>
              <w:spacing w:after="15" w:before="15"/>
            </w:pPr>
            <w:r>
              <w:rPr>
                <w:rFonts w:ascii="Consolas" w:cs="Consolas" w:eastAsia="Consolas" w:hAnsi="Consolas"/>
                <w:color w:val="0F172A"/>
                <w:sz w:val="16"/>
                <w:szCs w:val="16"/>
              </w:rPr>
              <w:t xml:space="preserve">│   │   └── types.ts                         # Interfaces de todas las tablas y entidades</w:t>
            </w:r>
          </w:p>
          <w:p>
            <w:pPr>
              <w:spacing w:after="15" w:before="15"/>
            </w:pPr>
            <w:r>
              <w:rPr>
                <w:rFonts w:ascii="Consolas" w:cs="Consolas" w:eastAsia="Consolas" w:hAnsi="Consolas"/>
                <w:color w:val="0F172A"/>
                <w:sz w:val="16"/>
                <w:szCs w:val="16"/>
              </w:rPr>
              <w:t xml:space="preserve">│   ├── config/                              # Configuración y Parámetros</w:t>
            </w:r>
          </w:p>
          <w:p>
            <w:pPr>
              <w:spacing w:after="15" w:before="15"/>
            </w:pPr>
            <w:r>
              <w:rPr>
                <w:rFonts w:ascii="Consolas" w:cs="Consolas" w:eastAsia="Consolas" w:hAnsi="Consolas"/>
                <w:color w:val="0F172A"/>
                <w:sz w:val="16"/>
                <w:szCs w:val="16"/>
              </w:rPr>
              <w:t xml:space="preserve">│   │   ├── tenant-config.service.ts         # Márgenes, parámetros y backup SHA-256</w:t>
            </w:r>
          </w:p>
          <w:p>
            <w:pPr>
              <w:spacing w:after="15" w:before="15"/>
            </w:pPr>
            <w:r>
              <w:rPr>
                <w:rFonts w:ascii="Consolas" w:cs="Consolas" w:eastAsia="Consolas" w:hAnsi="Consolas"/>
                <w:color w:val="0F172A"/>
                <w:sz w:val="16"/>
                <w:szCs w:val="16"/>
              </w:rPr>
              <w:t xml:space="preserve">│   │   └── database.config.ts               # Variables de entorno y cadenas de conexión</w:t>
            </w:r>
          </w:p>
          <w:p>
            <w:pPr>
              <w:spacing w:after="15" w:before="15"/>
            </w:pPr>
            <w:r>
              <w:rPr>
                <w:rFonts w:ascii="Consolas" w:cs="Consolas" w:eastAsia="Consolas" w:hAnsi="Consolas"/>
                <w:color w:val="0F172A"/>
                <w:sz w:val="16"/>
                <w:szCs w:val="16"/>
              </w:rPr>
              <w:t xml:space="preserve">│   └── utils/                               # Utilidades Transversales</w:t>
            </w:r>
          </w:p>
          <w:p>
            <w:pPr>
              <w:spacing w:after="15" w:before="15"/>
            </w:pPr>
            <w:r>
              <w:rPr>
                <w:rFonts w:ascii="Consolas" w:cs="Consolas" w:eastAsia="Consolas" w:hAnsi="Consolas"/>
                <w:color w:val="0F172A"/>
                <w:sz w:val="16"/>
                <w:szCs w:val="16"/>
              </w:rPr>
              <w:t xml:space="preserve">│       ├── logger.ts                        # Registro estructurado con niveles y contexto</w:t>
            </w:r>
          </w:p>
          <w:p>
            <w:pPr>
              <w:spacing w:after="15" w:before="15"/>
            </w:pPr>
            <w:r>
              <w:rPr>
                <w:rFonts w:ascii="Consolas" w:cs="Consolas" w:eastAsia="Consolas" w:hAnsi="Consolas"/>
                <w:color w:val="0F172A"/>
                <w:sz w:val="16"/>
                <w:szCs w:val="16"/>
              </w:rPr>
              <w:t xml:space="preserve">│       └── pricing.ts                       # Algoritmo oficial de Ley de Redondeo 20.956</w:t>
            </w:r>
          </w:p>
          <w:p>
            <w:pPr>
              <w:spacing w:after="15" w:before="15"/>
            </w:pPr>
            <w:r>
              <w:rPr>
                <w:rFonts w:ascii="Consolas" w:cs="Consolas" w:eastAsia="Consolas" w:hAnsi="Consolas"/>
                <w:color w:val="0F172A"/>
                <w:sz w:val="16"/>
                <w:szCs w:val="16"/>
              </w:rPr>
              <w:t xml:space="preserve">└── tests/                                   # Suites de pruebas Jest integrales (100% pass)</w:t>
            </w:r>
          </w:p>
        </w:tc>
      </w:tr>
    </w:tbl>
    <w:p>
      <w:pPr>
        <w:pStyle w:val="Heading2"/>
        <w:spacing w:after="100" w:before="300"/>
      </w:pPr>
      <w:r>
        <w:t xml:space="preserve">2.2. Descripción de Componentes Clave del Backend</w:t>
      </w:r>
    </w:p>
    <w:p>
      <w:pPr>
        <w:spacing w:after="60" w:before="60"/>
      </w:pPr>
      <w:r>
        <w:rPr>
          <w:rFonts w:ascii="Calibri" w:cs="Calibri" w:eastAsia="Calibri" w:hAnsi="Calibri"/>
          <w:color w:val="1E293B"/>
          <w:sz w:val="22"/>
          <w:szCs w:val="22"/>
        </w:rPr>
        <w:t xml:space="preserve">Cada subdirectorio implementa responsabilidades precisas que garantizan robustez técnica:</w:t>
      </w:r>
    </w:p>
    <w:p>
      <w:pPr>
        <w:pStyle w:val="ListParagraph"/>
        <w:numPr>
          <w:ilvl w:val="0"/>
          <w:numId w:val="1"/>
        </w:numPr>
        <w:spacing w:after="40" w:before="40"/>
      </w:pPr>
      <w:r>
        <w:rPr>
          <w:rFonts w:ascii="Calibri" w:cs="Calibri" w:eastAsia="Calibri" w:hAnsi="Calibri"/>
          <w:b/>
          <w:bCs/>
          <w:color w:val="1E293B"/>
          <w:sz w:val="22"/>
          <w:szCs w:val="22"/>
        </w:rPr>
        <w:t xml:space="preserve">Servidor (index.ts):</w:t>
      </w:r>
      <w:r>
        <w:rPr>
          <w:rFonts w:ascii="Calibri" w:cs="Calibri" w:eastAsia="Calibri" w:hAnsi="Calibri"/>
          <w:color w:val="1E293B"/>
          <w:sz w:val="22"/>
          <w:szCs w:val="22"/>
        </w:rPr>
        <w:t xml:space="preserve"> Servidor Express centralizado que configura compresión, cabeceras seguras mediante Helmet, control de acceso CORS parametrizable, parseo de payloads JSON y estáticos desde la carpeta public/. Inicia en el puerto 3000.</w:t>
      </w:r>
    </w:p>
    <w:p>
      <w:pPr>
        <w:pStyle w:val="ListParagraph"/>
        <w:numPr>
          <w:ilvl w:val="0"/>
          <w:numId w:val="1"/>
        </w:numPr>
        <w:spacing w:after="40" w:before="40"/>
      </w:pPr>
      <w:r>
        <w:rPr>
          <w:rFonts w:ascii="Calibri" w:cs="Calibri" w:eastAsia="Calibri" w:hAnsi="Calibri"/>
          <w:b/>
          <w:bCs/>
          <w:color w:val="1E293B"/>
          <w:sz w:val="22"/>
          <w:szCs w:val="22"/>
        </w:rPr>
        <w:t xml:space="preserve">Enrutamiento (routes/):</w:t>
      </w:r>
      <w:r>
        <w:rPr>
          <w:rFonts w:ascii="Calibri" w:cs="Calibri" w:eastAsia="Calibri" w:hAnsi="Calibri"/>
          <w:color w:val="1E293B"/>
          <w:sz w:val="22"/>
          <w:szCs w:val="22"/>
        </w:rPr>
        <w:t xml:space="preserve"> Expone 11 routers que reciben peticiones HTTP desde el frontend o terminales remotos, validando payloads antes de delegar a los servicios de dominio.</w:t>
      </w:r>
    </w:p>
    <w:p>
      <w:pPr>
        <w:pStyle w:val="ListParagraph"/>
        <w:numPr>
          <w:ilvl w:val="0"/>
          <w:numId w:val="1"/>
        </w:numPr>
        <w:spacing w:after="40" w:before="40"/>
      </w:pPr>
      <w:r>
        <w:rPr>
          <w:rFonts w:ascii="Calibri" w:cs="Calibri" w:eastAsia="Calibri" w:hAnsi="Calibri"/>
          <w:b/>
          <w:bCs/>
          <w:color w:val="1E293B"/>
          <w:sz w:val="22"/>
          <w:szCs w:val="22"/>
        </w:rPr>
        <w:t xml:space="preserve">Motor Fiscal DTE (dte/):</w:t>
      </w:r>
      <w:r>
        <w:rPr>
          <w:rFonts w:ascii="Calibri" w:cs="Calibri" w:eastAsia="Calibri" w:hAnsi="Calibri"/>
          <w:color w:val="1E293B"/>
          <w:sz w:val="22"/>
          <w:szCs w:val="22"/>
        </w:rPr>
        <w:t xml:space="preserve"> Implementa el estándar técnico del SII. Emite Boletas (39), Facturas (33), Guías (52) y Notas de Crédito (61), calculando Timbre Electrónico DTE (TED), digest SHA-1 y firma digital RSA con certificado.</w:t>
      </w:r>
    </w:p>
    <w:p>
      <w:pPr>
        <w:pStyle w:val="ListParagraph"/>
        <w:numPr>
          <w:ilvl w:val="0"/>
          <w:numId w:val="1"/>
        </w:numPr>
        <w:spacing w:after="40" w:before="40"/>
      </w:pPr>
      <w:r>
        <w:rPr>
          <w:rFonts w:ascii="Calibri" w:cs="Calibri" w:eastAsia="Calibri" w:hAnsi="Calibri"/>
          <w:b/>
          <w:bCs/>
          <w:color w:val="1E293B"/>
          <w:sz w:val="22"/>
          <w:szCs w:val="22"/>
        </w:rPr>
        <w:t xml:space="preserve">Despachador de Pagos (payments/):</w:t>
      </w:r>
      <w:r>
        <w:rPr>
          <w:rFonts w:ascii="Calibri" w:cs="Calibri" w:eastAsia="Calibri" w:hAnsi="Calibri"/>
          <w:color w:val="1E293B"/>
          <w:sz w:val="22"/>
          <w:szCs w:val="22"/>
        </w:rPr>
        <w:t xml:space="preserve"> Implementa el estándar PCI-DSS v4.0. No almacena datos sensibles de tarjetas (PAN/CVV) y utiliza tokenización y webhooks para soportar Efectivo, RutPay (BancoEstado), Transbank, Mercado Pago y SumUp.</w:t>
      </w:r>
    </w:p>
    <w:p>
      <w:pPr>
        <w:pStyle w:val="ListParagraph"/>
        <w:numPr>
          <w:ilvl w:val="0"/>
          <w:numId w:val="1"/>
        </w:numPr>
        <w:spacing w:after="40" w:before="40"/>
      </w:pPr>
      <w:r>
        <w:rPr>
          <w:rFonts w:ascii="Calibri" w:cs="Calibri" w:eastAsia="Calibri" w:hAnsi="Calibri"/>
          <w:b/>
          <w:bCs/>
          <w:color w:val="1E293B"/>
          <w:sz w:val="22"/>
          <w:szCs w:val="22"/>
        </w:rPr>
        <w:t xml:space="preserve">Motor de Sincronización (sync/):</w:t>
      </w:r>
      <w:r>
        <w:rPr>
          <w:rFonts w:ascii="Calibri" w:cs="Calibri" w:eastAsia="Calibri" w:hAnsi="Calibri"/>
          <w:color w:val="1E293B"/>
          <w:sz w:val="22"/>
          <w:szCs w:val="22"/>
        </w:rPr>
        <w:t xml:space="preserve"> Implementa resolución de conflictos no destructiva: en inventario aplica política de Delta Neto para no sobreescribir ventas de otros canales, y en catálogo aplica Primacía de la Nube para mantener precios unificados.</w:t>
      </w:r>
    </w:p>
    <w:p>
      <w:pPr>
        <w:pStyle w:val="ListParagraph"/>
        <w:numPr>
          <w:ilvl w:val="0"/>
          <w:numId w:val="1"/>
        </w:numPr>
        <w:spacing w:after="40" w:before="40"/>
      </w:pPr>
      <w:r>
        <w:rPr>
          <w:rFonts w:ascii="Calibri" w:cs="Calibri" w:eastAsia="Calibri" w:hAnsi="Calibri"/>
          <w:b/>
          <w:bCs/>
          <w:color w:val="1E293B"/>
          <w:sz w:val="22"/>
          <w:szCs w:val="22"/>
        </w:rPr>
        <w:t xml:space="preserve">Capa de Datos (database/):</w:t>
      </w:r>
      <w:r>
        <w:rPr>
          <w:rFonts w:ascii="Calibri" w:cs="Calibri" w:eastAsia="Calibri" w:hAnsi="Calibri"/>
          <w:color w:val="1E293B"/>
          <w:sz w:val="22"/>
          <w:szCs w:val="22"/>
        </w:rPr>
        <w:t xml:space="preserve"> Arquitectura simétrica con clientes transaccionales nativos para SQLite y PostgreSQL. Ambos motores ejecutan las 9 migraciones oficiales de forma idéntica e idempotente.</w:t>
      </w:r>
    </w:p>
    <w:p>
      <w:pPr>
        <w:pStyle w:val="Heading1"/>
        <w:spacing w:after="150" w:before="400"/>
      </w:pPr>
      <w:r>
        <w:t xml:space="preserve">3. Estructura Arquitectónica Detallada del Frontend</w:t>
      </w:r>
    </w:p>
    <w:p>
      <w:pPr>
        <w:spacing w:after="60" w:before="60"/>
      </w:pPr>
      <w:r>
        <w:rPr>
          <w:rFonts w:ascii="Calibri" w:cs="Calibri" w:eastAsia="Calibri" w:hAnsi="Calibri"/>
          <w:color w:val="1E293B"/>
          <w:sz w:val="22"/>
          <w:szCs w:val="22"/>
        </w:rPr>
        <w:t xml:space="preserve">El frontend de GesTock está diseñado como una Single Page Application (SPA) ultrarrápida, construida con HTML5 semántico, CSS3 moderno con variables y JavaScript nativo ES6+ sin sobrecarga de frameworks externos pesados. Esto asegura que la aplicación cargue en menos de 100ms y responda al instante en pantallas táctiles o computadores de punto de venta modestos.</w:t>
      </w:r>
    </w:p>
    <w:p>
      <w:pPr>
        <w:pStyle w:val="Heading2"/>
        <w:spacing w:after="100" w:before="300"/>
      </w:pPr>
      <w:r>
        <w:t xml:space="preserve">3.1. Árbol de Archivos del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backend/public/</w:t>
            </w:r>
          </w:p>
          <w:p>
            <w:pPr>
              <w:spacing w:after="15" w:before="15"/>
            </w:pPr>
            <w:r>
              <w:rPr>
                <w:rFonts w:ascii="Consolas" w:cs="Consolas" w:eastAsia="Consolas" w:hAnsi="Consolas"/>
                <w:color w:val="0F172A"/>
                <w:sz w:val="16"/>
                <w:szCs w:val="16"/>
              </w:rPr>
              <w:t xml:space="preserve">├── index.html                   # Shell de la SPA: Header, barra de navegación, 11 pestañas y modales</w:t>
            </w:r>
          </w:p>
          <w:p>
            <w:pPr>
              <w:spacing w:after="15" w:before="15"/>
            </w:pPr>
            <w:r>
              <w:rPr>
                <w:rFonts w:ascii="Consolas" w:cs="Consolas" w:eastAsia="Consolas" w:hAnsi="Consolas"/>
                <w:color w:val="0F172A"/>
                <w:sz w:val="16"/>
                <w:szCs w:val="16"/>
              </w:rPr>
              <w:t xml:space="preserve">├── css/</w:t>
            </w:r>
          </w:p>
          <w:p>
            <w:pPr>
              <w:spacing w:after="15" w:before="15"/>
            </w:pPr>
            <w:r>
              <w:rPr>
                <w:rFonts w:ascii="Consolas" w:cs="Consolas" w:eastAsia="Consolas" w:hAnsi="Consolas"/>
                <w:color w:val="0F172A"/>
                <w:sz w:val="16"/>
                <w:szCs w:val="16"/>
              </w:rPr>
              <w:t xml:space="preserve">│   └── pos-theme.css            # Hoja de estilos principal: 920+ líneas de diseño corporativo y temas</w:t>
            </w:r>
          </w:p>
          <w:p>
            <w:pPr>
              <w:spacing w:after="15" w:before="15"/>
            </w:pPr>
            <w:r>
              <w:rPr>
                <w:rFonts w:ascii="Consolas" w:cs="Consolas" w:eastAsia="Consolas" w:hAnsi="Consolas"/>
                <w:color w:val="0F172A"/>
                <w:sz w:val="16"/>
                <w:szCs w:val="16"/>
              </w:rPr>
              <w:t xml:space="preserve">└── js/</w:t>
            </w:r>
          </w:p>
          <w:p>
            <w:pPr>
              <w:spacing w:after="15" w:before="15"/>
            </w:pPr>
            <w:r>
              <w:rPr>
                <w:rFonts w:ascii="Consolas" w:cs="Consolas" w:eastAsia="Consolas" w:hAnsi="Consolas"/>
                <w:color w:val="0F172A"/>
                <w:sz w:val="16"/>
                <w:szCs w:val="16"/>
              </w:rPr>
              <w:t xml:space="preserve">    └── app.js                   # Núcleo cliente: 3,500+ líneas con gestión de estado y controladores</w:t>
            </w:r>
          </w:p>
        </w:tc>
      </w:tr>
    </w:tbl>
    <w:p>
      <w:pPr>
        <w:pStyle w:val="Heading2"/>
        <w:spacing w:after="100" w:before="300"/>
      </w:pPr>
      <w:r>
        <w:t xml:space="preserve">3.2. Arquitectura de Componentes de index.html</w:t>
      </w:r>
    </w:p>
    <w:p>
      <w:pPr>
        <w:spacing w:after="60" w:before="60"/>
      </w:pPr>
      <w:r>
        <w:rPr>
          <w:rFonts w:ascii="Calibri" w:cs="Calibri" w:eastAsia="Calibri" w:hAnsi="Calibri"/>
          <w:color w:val="1E293B"/>
          <w:sz w:val="22"/>
          <w:szCs w:val="22"/>
        </w:rPr>
        <w:t xml:space="preserve">El archivo index.html organiza la vista en 4 capas estructurales bien definidas:</w:t>
      </w:r>
    </w:p>
    <w:p>
      <w:pPr>
        <w:pStyle w:val="ListParagraph"/>
        <w:numPr>
          <w:ilvl w:val="0"/>
          <w:numId w:val="1"/>
        </w:numPr>
        <w:spacing w:after="40" w:before="40"/>
      </w:pPr>
      <w:r>
        <w:rPr>
          <w:rFonts w:ascii="Calibri" w:cs="Calibri" w:eastAsia="Calibri" w:hAnsi="Calibri"/>
          <w:b/>
          <w:bCs/>
          <w:color w:val="1E293B"/>
          <w:sz w:val="22"/>
          <w:szCs w:val="22"/>
        </w:rPr>
        <w:t xml:space="preserve">1. Barra Superior (Header):</w:t>
      </w:r>
      <w:r>
        <w:rPr>
          <w:rFonts w:ascii="Calibri" w:cs="Calibri" w:eastAsia="Calibri" w:hAnsi="Calibri"/>
          <w:color w:val="1E293B"/>
          <w:sz w:val="22"/>
          <w:szCs w:val="22"/>
        </w:rPr>
        <w:t xml:space="preserve"> Incluye el logo de GesTock, el semáforo tricolor de sincronización con la nube (indicando ventas pendientes de respaldo), el botón manual de sincronización inmediata, el conmutador de tema Claro/Oscuro y el identificador de la caja y cajero activo.</w:t>
      </w:r>
    </w:p>
    <w:p>
      <w:pPr>
        <w:pStyle w:val="ListParagraph"/>
        <w:numPr>
          <w:ilvl w:val="0"/>
          <w:numId w:val="1"/>
        </w:numPr>
        <w:spacing w:after="40" w:before="40"/>
      </w:pPr>
      <w:r>
        <w:rPr>
          <w:rFonts w:ascii="Calibri" w:cs="Calibri" w:eastAsia="Calibri" w:hAnsi="Calibri"/>
          <w:b/>
          <w:bCs/>
          <w:color w:val="1E293B"/>
          <w:sz w:val="22"/>
          <w:szCs w:val="22"/>
        </w:rPr>
        <w:t xml:space="preserve">2. Barra de Navegación (Tabs):</w:t>
      </w:r>
      <w:r>
        <w:rPr>
          <w:rFonts w:ascii="Calibri" w:cs="Calibri" w:eastAsia="Calibri" w:hAnsi="Calibri"/>
          <w:color w:val="1E293B"/>
          <w:sz w:val="22"/>
          <w:szCs w:val="22"/>
        </w:rPr>
        <w:t xml:space="preserve"> Barra horizontal accesible con 11 botones de módulo que alternan dinámicamente las secciones sin recargar la página: Terminal POS, Dashboard, Inventario, Registro de Ventas, Cierre de Caja, Respaldo Facturas &amp; SII, Proveedores, Reabastecimiento ROP, Ingesta OCR, Tendencias y Configuración.</w:t>
      </w:r>
    </w:p>
    <w:p>
      <w:pPr>
        <w:pStyle w:val="ListParagraph"/>
        <w:numPr>
          <w:ilvl w:val="0"/>
          <w:numId w:val="1"/>
        </w:numPr>
        <w:spacing w:after="40" w:before="40"/>
      </w:pPr>
      <w:r>
        <w:rPr>
          <w:rFonts w:ascii="Calibri" w:cs="Calibri" w:eastAsia="Calibri" w:hAnsi="Calibri"/>
          <w:b/>
          <w:bCs/>
          <w:color w:val="1E293B"/>
          <w:sz w:val="22"/>
          <w:szCs w:val="22"/>
        </w:rPr>
        <w:t xml:space="preserve">3. Área de Trabajo Principal (Main):</w:t>
      </w:r>
      <w:r>
        <w:rPr>
          <w:rFonts w:ascii="Calibri" w:cs="Calibri" w:eastAsia="Calibri" w:hAnsi="Calibri"/>
          <w:color w:val="1E293B"/>
          <w:sz w:val="22"/>
          <w:szCs w:val="22"/>
        </w:rPr>
        <w:t xml:space="preserve"> Contenedor de las 11 vistas tab-pane. La vista activa se visualiza al instante mientras las demás permanecen en memoria listas para su renderizado.</w:t>
      </w:r>
    </w:p>
    <w:p>
      <w:pPr>
        <w:pStyle w:val="ListParagraph"/>
        <w:numPr>
          <w:ilvl w:val="0"/>
          <w:numId w:val="1"/>
        </w:numPr>
        <w:spacing w:after="40" w:before="40"/>
      </w:pPr>
      <w:r>
        <w:rPr>
          <w:rFonts w:ascii="Calibri" w:cs="Calibri" w:eastAsia="Calibri" w:hAnsi="Calibri"/>
          <w:b/>
          <w:bCs/>
          <w:color w:val="1E293B"/>
          <w:sz w:val="22"/>
          <w:szCs w:val="22"/>
        </w:rPr>
        <w:t xml:space="preserve">4. Capa de Modales Flotantes:</w:t>
      </w:r>
      <w:r>
        <w:rPr>
          <w:rFonts w:ascii="Calibri" w:cs="Calibri" w:eastAsia="Calibri" w:hAnsi="Calibri"/>
          <w:color w:val="1E293B"/>
          <w:sz w:val="22"/>
          <w:szCs w:val="22"/>
        </w:rPr>
        <w:t xml:space="preserve"> Ventanas emergentes accesibles para operaciones específicas: Devolución de Ventas (con emisión de NC DTE 61), Generador e Impresor de Etiquetas de Góndola, Apertura y Arqueo Ciego de Caja, Visor XML/Ticket de DTEs, y subida de archivos de facturas OCR.</w:t>
      </w:r>
    </w:p>
    <w:p>
      <w:pPr>
        <w:pStyle w:val="Heading2"/>
        <w:spacing w:after="100" w:before="300"/>
      </w:pPr>
      <w:r>
        <w:t xml:space="preserve">3.3. Sistema de Diseño y Estilos en pos-theme.css</w:t>
      </w:r>
    </w:p>
    <w:p>
      <w:pPr>
        <w:pStyle w:val="ListParagraph"/>
        <w:numPr>
          <w:ilvl w:val="0"/>
          <w:numId w:val="1"/>
        </w:numPr>
        <w:spacing w:after="40" w:before="40"/>
      </w:pPr>
      <w:r>
        <w:rPr>
          <w:rFonts w:ascii="Calibri" w:cs="Calibri" w:eastAsia="Calibri" w:hAnsi="Calibri"/>
          <w:b/>
          <w:bCs/>
          <w:color w:val="1E293B"/>
          <w:sz w:val="22"/>
          <w:szCs w:val="22"/>
        </w:rPr>
        <w:t xml:space="preserve">Paleta y Variables CSS:</w:t>
      </w:r>
      <w:r>
        <w:rPr>
          <w:rFonts w:ascii="Calibri" w:cs="Calibri" w:eastAsia="Calibri" w:hAnsi="Calibri"/>
          <w:color w:val="1E293B"/>
          <w:sz w:val="22"/>
          <w:szCs w:val="22"/>
        </w:rPr>
        <w:t xml:space="preserve"> Diseñado con una paleta profesional basada en Tailwind/Slate. El modo oscuro por defecto (#0f172a) reduce la fatiga visual del cajero, mientras que el modo claro (#f8fafc) ofrece contraste óptimo bajo luz natural.</w:t>
      </w:r>
    </w:p>
    <w:p>
      <w:pPr>
        <w:pStyle w:val="ListParagraph"/>
        <w:numPr>
          <w:ilvl w:val="0"/>
          <w:numId w:val="1"/>
        </w:numPr>
        <w:spacing w:after="40" w:before="40"/>
      </w:pPr>
      <w:r>
        <w:rPr>
          <w:rFonts w:ascii="Calibri" w:cs="Calibri" w:eastAsia="Calibri" w:hAnsi="Calibri"/>
          <w:b/>
          <w:bCs/>
          <w:color w:val="1E293B"/>
          <w:sz w:val="22"/>
          <w:szCs w:val="22"/>
        </w:rPr>
        <w:t xml:space="preserve">Ergonomía de Carrito y Ticket:</w:t>
      </w:r>
      <w:r>
        <w:rPr>
          <w:rFonts w:ascii="Calibri" w:cs="Calibri" w:eastAsia="Calibri" w:hAnsi="Calibri"/>
          <w:color w:val="1E293B"/>
          <w:sz w:val="22"/>
          <w:szCs w:val="22"/>
        </w:rPr>
        <w:t xml:space="preserve"> La columna derecha del terminal mide 430px de ancho fijo. La lista de productos agregados posee scroll vertical independiente con altura mínima garantizada (200px a 380px), y la sección de totales (Neto, IVA, ILA, Total) está dispuesta en una sola línea compacta para que nunca se tape el ticket de compra.</w:t>
      </w:r>
    </w:p>
    <w:p>
      <w:pPr>
        <w:pStyle w:val="ListParagraph"/>
        <w:numPr>
          <w:ilvl w:val="0"/>
          <w:numId w:val="1"/>
        </w:numPr>
        <w:spacing w:after="40" w:before="40"/>
      </w:pPr>
      <w:r>
        <w:rPr>
          <w:rFonts w:ascii="Calibri" w:cs="Calibri" w:eastAsia="Calibri" w:hAnsi="Calibri"/>
          <w:b/>
          <w:bCs/>
          <w:color w:val="1E293B"/>
          <w:sz w:val="22"/>
          <w:szCs w:val="22"/>
        </w:rPr>
        <w:t xml:space="preserve">Iluminación Dinámica de Nube:</w:t>
      </w:r>
      <w:r>
        <w:rPr>
          <w:rFonts w:ascii="Calibri" w:cs="Calibri" w:eastAsia="Calibri" w:hAnsi="Calibri"/>
          <w:color w:val="1E293B"/>
          <w:sz w:val="22"/>
          <w:szCs w:val="22"/>
        </w:rPr>
        <w:t xml:space="preserve"> El punto indicador de la barra superior utiliza animación CSS pulsante (@keyframes pulse-dot-pending) en color ámbar cuando existen transacciones retenidas localmente, y resplandor verde esmeralda (box-shadow 0 0 10px #10b981) al quedar en 0 pendientes (ONLINE / SINCRONIZADO).</w:t>
      </w:r>
    </w:p>
    <w:p>
      <w:pPr>
        <w:pStyle w:val="ListParagraph"/>
        <w:numPr>
          <w:ilvl w:val="0"/>
          <w:numId w:val="1"/>
        </w:numPr>
        <w:spacing w:after="40" w:before="40"/>
      </w:pPr>
      <w:r>
        <w:rPr>
          <w:rFonts w:ascii="Calibri" w:cs="Calibri" w:eastAsia="Calibri" w:hAnsi="Calibri"/>
          <w:b/>
          <w:bCs/>
          <w:color w:val="1E293B"/>
          <w:sz w:val="22"/>
          <w:szCs w:val="22"/>
        </w:rPr>
        <w:t xml:space="preserve">Impresión Térmica 80mm:</w:t>
      </w:r>
      <w:r>
        <w:rPr>
          <w:rFonts w:ascii="Calibri" w:cs="Calibri" w:eastAsia="Calibri" w:hAnsi="Calibri"/>
          <w:color w:val="1E293B"/>
          <w:sz w:val="22"/>
          <w:szCs w:val="22"/>
        </w:rPr>
        <w:t xml:space="preserve"> Reglas @media print formateadas exactamente a 80mm para imprimir tickets térmicos de venta, vales de devolución y Reportes Z con cortes limpios y tipografía nítida.</w:t>
      </w:r>
    </w:p>
    <w:p>
      <w:pPr>
        <w:pStyle w:val="ListParagraph"/>
        <w:numPr>
          <w:ilvl w:val="0"/>
          <w:numId w:val="1"/>
        </w:numPr>
        <w:spacing w:after="40" w:before="40"/>
      </w:pPr>
      <w:r>
        <w:rPr>
          <w:rFonts w:ascii="Calibri" w:cs="Calibri" w:eastAsia="Calibri" w:hAnsi="Calibri"/>
          <w:b/>
          <w:bCs/>
          <w:color w:val="1E293B"/>
          <w:sz w:val="22"/>
          <w:szCs w:val="22"/>
        </w:rPr>
        <w:t xml:space="preserve">Hojas de Etiquetas de Góndola:</w:t>
      </w:r>
      <w:r>
        <w:rPr>
          <w:rFonts w:ascii="Calibri" w:cs="Calibri" w:eastAsia="Calibri" w:hAnsi="Calibri"/>
          <w:color w:val="1E293B"/>
          <w:sz w:val="22"/>
          <w:szCs w:val="22"/>
        </w:rPr>
        <w:t xml:space="preserve"> Estilos calibrados para imprimir hojas autoadhesivas de 3 columnas con códigos de barra legibles por escáner láser u óptico a 300+ DPI.</w:t>
      </w:r>
    </w:p>
    <w:p>
      <w:pPr>
        <w:pStyle w:val="Heading2"/>
        <w:spacing w:after="100" w:before="300"/>
      </w:pPr>
      <w:r>
        <w:t xml:space="preserve">3.4. Núcleo Cliente y Gestión de Estado en app.js</w:t>
      </w:r>
    </w:p>
    <w:p>
      <w:pPr>
        <w:pStyle w:val="ListParagraph"/>
        <w:numPr>
          <w:ilvl w:val="0"/>
          <w:numId w:val="1"/>
        </w:numPr>
        <w:spacing w:after="40" w:before="40"/>
      </w:pPr>
      <w:r>
        <w:rPr>
          <w:rFonts w:ascii="Calibri" w:cs="Calibri" w:eastAsia="Calibri" w:hAnsi="Calibri"/>
          <w:b/>
          <w:bCs/>
          <w:color w:val="1E293B"/>
          <w:sz w:val="22"/>
          <w:szCs w:val="22"/>
        </w:rPr>
        <w:t xml:space="preserve">Estado Centralizado (State):</w:t>
      </w:r>
      <w:r>
        <w:rPr>
          <w:rFonts w:ascii="Calibri" w:cs="Calibri" w:eastAsia="Calibri" w:hAnsi="Calibri"/>
          <w:color w:val="1E293B"/>
          <w:sz w:val="22"/>
          <w:szCs w:val="22"/>
        </w:rPr>
        <w:t xml:space="preserve"> Un objeto global state centraliza el ID del tenant, catálogo de productos en memoria, carrito de compras activo, método de pago seleccionado, datos del cliente/empresa receptora, métricas del dashboard y estado de conexión.</w:t>
      </w:r>
    </w:p>
    <w:p>
      <w:pPr>
        <w:pStyle w:val="ListParagraph"/>
        <w:numPr>
          <w:ilvl w:val="0"/>
          <w:numId w:val="1"/>
        </w:numPr>
        <w:spacing w:after="40" w:before="40"/>
      </w:pPr>
      <w:r>
        <w:rPr>
          <w:rFonts w:ascii="Calibri" w:cs="Calibri" w:eastAsia="Calibri" w:hAnsi="Calibri"/>
          <w:b/>
          <w:bCs/>
          <w:color w:val="1E293B"/>
          <w:sz w:val="22"/>
          <w:szCs w:val="22"/>
        </w:rPr>
        <w:t xml:space="preserve">Atajos de Teclado de Retail:</w:t>
      </w:r>
      <w:r>
        <w:rPr>
          <w:rFonts w:ascii="Calibri" w:cs="Calibri" w:eastAsia="Calibri" w:hAnsi="Calibri"/>
          <w:color w:val="1E293B"/>
          <w:sz w:val="22"/>
          <w:szCs w:val="22"/>
        </w:rPr>
        <w:t xml:space="preserve"> Los atajos F2 (enfocar buscador de productos) y F4 (confirmar venta y cobrar) permiten al cajero operar a máxima velocidad sin tocar el ratón.</w:t>
      </w:r>
    </w:p>
    <w:p>
      <w:pPr>
        <w:pStyle w:val="ListParagraph"/>
        <w:numPr>
          <w:ilvl w:val="0"/>
          <w:numId w:val="1"/>
        </w:numPr>
        <w:spacing w:after="40" w:before="40"/>
      </w:pPr>
      <w:r>
        <w:rPr>
          <w:rFonts w:ascii="Calibri" w:cs="Calibri" w:eastAsia="Calibri" w:hAnsi="Calibri"/>
          <w:b/>
          <w:bCs/>
          <w:color w:val="1E293B"/>
          <w:sz w:val="22"/>
          <w:szCs w:val="22"/>
        </w:rPr>
        <w:t xml:space="preserve">Integración Analítica Chart.js:</w:t>
      </w:r>
      <w:r>
        <w:rPr>
          <w:rFonts w:ascii="Calibri" w:cs="Calibri" w:eastAsia="Calibri" w:hAnsi="Calibri"/>
          <w:color w:val="1E293B"/>
          <w:sz w:val="22"/>
          <w:szCs w:val="22"/>
        </w:rPr>
        <w:t xml:space="preserve"> Dibuja en tiempo real gráficos evolutivos de ingresos, tortas de medios de pago, barras de productos top y compras por proveedor al cambiar entre vistas diaria, mensual o histórica.</w:t>
      </w:r>
    </w:p>
    <w:p>
      <w:pPr>
        <w:pStyle w:val="ListParagraph"/>
        <w:numPr>
          <w:ilvl w:val="0"/>
          <w:numId w:val="1"/>
        </w:numPr>
        <w:spacing w:after="40" w:before="40"/>
      </w:pPr>
      <w:r>
        <w:rPr>
          <w:rFonts w:ascii="Calibri" w:cs="Calibri" w:eastAsia="Calibri" w:hAnsi="Calibri"/>
          <w:b/>
          <w:bCs/>
          <w:color w:val="1E293B"/>
          <w:sz w:val="22"/>
          <w:szCs w:val="22"/>
        </w:rPr>
        <w:t xml:space="preserve">Notificaciones Toast:</w:t>
      </w:r>
      <w:r>
        <w:rPr>
          <w:rFonts w:ascii="Calibri" w:cs="Calibri" w:eastAsia="Calibri" w:hAnsi="Calibri"/>
          <w:color w:val="1E293B"/>
          <w:sz w:val="22"/>
          <w:szCs w:val="22"/>
        </w:rPr>
        <w:t xml:space="preserve"> Sistema emergente no intrusivo para confirmar éxito de operaciones o alertar advertencias legales (por ejemplo, venta de alcohol a menores).</w:t>
      </w:r>
    </w:p>
    <w:p>
      <w:pPr>
        <w:pStyle w:val="Heading1"/>
        <w:spacing w:after="150" w:before="400"/>
      </w:pPr>
      <w:r>
        <w:t xml:space="preserve">4. Descripción Detallada y Exhaustiva de Cada Funcionalidad</w:t>
      </w:r>
    </w:p>
    <w:p>
      <w:pPr>
        <w:spacing w:after="60" w:before="60"/>
      </w:pPr>
      <w:r>
        <w:rPr>
          <w:rFonts w:ascii="Calibri" w:cs="Calibri" w:eastAsia="Calibri" w:hAnsi="Calibri"/>
          <w:color w:val="1E293B"/>
          <w:sz w:val="22"/>
          <w:szCs w:val="22"/>
        </w:rPr>
        <w:t xml:space="preserve">A continuación se documenta en profundidad cada uno de los 18 módulos y capacidades que componen GesTock:</w:t>
      </w:r>
    </w:p>
    <w:p>
      <w:pPr>
        <w:pStyle w:val="Heading2"/>
        <w:spacing w:after="100" w:before="300"/>
      </w:pPr>
      <w:r>
        <w:t xml:space="preserve">4.1. Terminal de Ventas POS de Alta Velocidad</w:t>
      </w:r>
    </w:p>
    <w:p>
      <w:pPr>
        <w:spacing w:after="60" w:before="60"/>
      </w:pPr>
      <w:r>
        <w:rPr>
          <w:rFonts w:ascii="Calibri" w:cs="Calibri" w:eastAsia="Calibri" w:hAnsi="Calibri"/>
          <w:color w:val="1E293B"/>
          <w:sz w:val="22"/>
          <w:szCs w:val="22"/>
        </w:rPr>
        <w:t xml:space="preserve">Constituye la herramienta operativa principal en la caja de atención al público.</w:t>
      </w:r>
    </w:p>
    <w:p>
      <w:pPr>
        <w:pStyle w:val="ListParagraph"/>
        <w:numPr>
          <w:ilvl w:val="0"/>
          <w:numId w:val="1"/>
        </w:numPr>
        <w:spacing w:after="40" w:before="40"/>
      </w:pPr>
      <w:r>
        <w:rPr>
          <w:rFonts w:ascii="Calibri" w:cs="Calibri" w:eastAsia="Calibri" w:hAnsi="Calibri"/>
          <w:b/>
          <w:bCs/>
          <w:color w:val="1E293B"/>
          <w:sz w:val="22"/>
          <w:szCs w:val="22"/>
        </w:rPr>
        <w:t xml:space="preserve">Búsqueda Predictiva (F2):</w:t>
      </w:r>
      <w:r>
        <w:rPr>
          <w:rFonts w:ascii="Calibri" w:cs="Calibri" w:eastAsia="Calibri" w:hAnsi="Calibri"/>
          <w:color w:val="1E293B"/>
          <w:sz w:val="22"/>
          <w:szCs w:val="22"/>
        </w:rPr>
        <w:t xml:space="preserve"> Búsqueda instantánea con indexación local por Nombre, SKU o Código de Barras mediante teclado o pistola lectora USB/Bluetooth.</w:t>
      </w:r>
    </w:p>
    <w:p>
      <w:pPr>
        <w:pStyle w:val="ListParagraph"/>
        <w:numPr>
          <w:ilvl w:val="0"/>
          <w:numId w:val="1"/>
        </w:numPr>
        <w:spacing w:after="40" w:before="40"/>
      </w:pPr>
      <w:r>
        <w:rPr>
          <w:rFonts w:ascii="Calibri" w:cs="Calibri" w:eastAsia="Calibri" w:hAnsi="Calibri"/>
          <w:b/>
          <w:bCs/>
          <w:color w:val="1E293B"/>
          <w:sz w:val="22"/>
          <w:szCs w:val="22"/>
        </w:rPr>
        <w:t xml:space="preserve">Control de Ítems en Carrito:</w:t>
      </w:r>
      <w:r>
        <w:rPr>
          <w:rFonts w:ascii="Calibri" w:cs="Calibri" w:eastAsia="Calibri" w:hAnsi="Calibri"/>
          <w:color w:val="1E293B"/>
          <w:sz w:val="22"/>
          <w:szCs w:val="22"/>
        </w:rPr>
        <w:t xml:space="preserve"> Permite modificar cantidades con botones +/- o campo numérico directo, eliminar artículos con un clic y visualizar el precio unitario y subtotal.</w:t>
      </w:r>
    </w:p>
    <w:p>
      <w:pPr>
        <w:pStyle w:val="ListParagraph"/>
        <w:numPr>
          <w:ilvl w:val="0"/>
          <w:numId w:val="1"/>
        </w:numPr>
        <w:spacing w:after="40" w:before="40"/>
      </w:pPr>
      <w:r>
        <w:rPr>
          <w:rFonts w:ascii="Calibri" w:cs="Calibri" w:eastAsia="Calibri" w:hAnsi="Calibri"/>
          <w:b/>
          <w:bCs/>
          <w:color w:val="1E293B"/>
          <w:sz w:val="22"/>
          <w:szCs w:val="22"/>
        </w:rPr>
        <w:t xml:space="preserve">Cálculo Fiscal en Vivo:</w:t>
      </w:r>
      <w:r>
        <w:rPr>
          <w:rFonts w:ascii="Calibri" w:cs="Calibri" w:eastAsia="Calibri" w:hAnsi="Calibri"/>
          <w:color w:val="1E293B"/>
          <w:sz w:val="22"/>
          <w:szCs w:val="22"/>
        </w:rPr>
        <w:t xml:space="preserve"> Los totales se recalculan en cada pulsación, desglosando Subtotal Neto, Débito Fiscal IVA (19%) e Impuesto Adicional ILA según corresponda.</w:t>
      </w:r>
    </w:p>
    <w:p>
      <w:pPr>
        <w:pStyle w:val="ListParagraph"/>
        <w:numPr>
          <w:ilvl w:val="0"/>
          <w:numId w:val="1"/>
        </w:numPr>
        <w:spacing w:after="40" w:before="40"/>
      </w:pPr>
      <w:r>
        <w:rPr>
          <w:rFonts w:ascii="Calibri" w:cs="Calibri" w:eastAsia="Calibri" w:hAnsi="Calibri"/>
          <w:b/>
          <w:bCs/>
          <w:color w:val="1E293B"/>
          <w:sz w:val="22"/>
          <w:szCs w:val="22"/>
        </w:rPr>
        <w:t xml:space="preserve">Selector Boleta / Factura:</w:t>
      </w:r>
      <w:r>
        <w:rPr>
          <w:rFonts w:ascii="Calibri" w:cs="Calibri" w:eastAsia="Calibri" w:hAnsi="Calibri"/>
          <w:color w:val="1E293B"/>
          <w:sz w:val="22"/>
          <w:szCs w:val="22"/>
        </w:rPr>
        <w:t xml:space="preserve"> Switch interactivo que permite emitir Boleta Electrónica (DTE 39) para consumidor final o Factura Electrónica (DTE 33) capturando RUT del receptor (validado con algoritmo Módulo 11), Razón Social, Giro Comercial, Dirección y Comuna.</w:t>
      </w:r>
    </w:p>
    <w:p>
      <w:pPr>
        <w:pStyle w:val="ListParagraph"/>
        <w:numPr>
          <w:ilvl w:val="0"/>
          <w:numId w:val="1"/>
        </w:numPr>
        <w:spacing w:after="40" w:before="40"/>
      </w:pPr>
      <w:r>
        <w:rPr>
          <w:rFonts w:ascii="Calibri" w:cs="Calibri" w:eastAsia="Calibri" w:hAnsi="Calibri"/>
          <w:b/>
          <w:bCs/>
          <w:color w:val="1E293B"/>
          <w:sz w:val="22"/>
          <w:szCs w:val="22"/>
        </w:rPr>
        <w:t xml:space="preserve">Cobro Instantáneo (F4):</w:t>
      </w:r>
      <w:r>
        <w:rPr>
          <w:rFonts w:ascii="Calibri" w:cs="Calibri" w:eastAsia="Calibri" w:hAnsi="Calibri"/>
          <w:color w:val="1E293B"/>
          <w:sz w:val="22"/>
          <w:szCs w:val="22"/>
        </w:rPr>
        <w:t xml:space="preserve"> Guarda la transacción en SQLite de forma atómica, descuenta stock local, genera el comprobante fiscal y permite imprimir el ticket térmico de 80mm con timbre TED y código QR oficial del SII.</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/api/v1/pos/checkout | Tablas: transacciones_venta, detalle_venta, historial_stock, productos.</w:t>
      </w:r>
    </w:p>
    <w:p>
      <w:pPr>
        <w:pStyle w:val="Heading2"/>
        <w:spacing w:after="100" w:before="300"/>
      </w:pPr>
      <w:r>
        <w:t xml:space="preserve">4.2. Control de Venta de Alcohol (+18) bajo Ley N° 19.925 y Ley N° 21.363</w:t>
      </w:r>
    </w:p>
    <w:p>
      <w:pPr>
        <w:spacing w:after="60" w:before="60"/>
      </w:pPr>
      <w:r>
        <w:rPr>
          <w:rFonts w:ascii="Calibri" w:cs="Calibri" w:eastAsia="Calibri" w:hAnsi="Calibri"/>
          <w:color w:val="1E293B"/>
          <w:sz w:val="22"/>
          <w:szCs w:val="22"/>
        </w:rPr>
        <w:t xml:space="preserve">Módulo de cumplimiento obligatorio para botillerías, minimarkets y tiendas de conveniencia que comercializan bebidas alcohólicas en Chile.</w:t>
      </w:r>
    </w:p>
    <w:p>
      <w:pPr>
        <w:pStyle w:val="ListParagraph"/>
        <w:numPr>
          <w:ilvl w:val="0"/>
          <w:numId w:val="1"/>
        </w:numPr>
        <w:spacing w:after="40" w:before="40"/>
      </w:pPr>
      <w:r>
        <w:rPr>
          <w:rFonts w:ascii="Calibri" w:cs="Calibri" w:eastAsia="Calibri" w:hAnsi="Calibri"/>
          <w:b/>
          <w:bCs/>
          <w:color w:val="1E293B"/>
          <w:sz w:val="22"/>
          <w:szCs w:val="22"/>
        </w:rPr>
        <w:t xml:space="preserve">Detección Automática:</w:t>
      </w:r>
      <w:r>
        <w:rPr>
          <w:rFonts w:ascii="Calibri" w:cs="Calibri" w:eastAsia="Calibri" w:hAnsi="Calibri"/>
          <w:color w:val="1E293B"/>
          <w:sz w:val="22"/>
          <w:szCs w:val="22"/>
        </w:rPr>
        <w:t xml:space="preserve"> Al agregar al carrito cualquier producto con ILA 27 (cervezas y vinos, 20.5%) o ILA 28 (destilados y licores, 31.5%), el sistema activa un banner destacado de advertencia legal en el carrito.</w:t>
      </w:r>
    </w:p>
    <w:p>
      <w:pPr>
        <w:pStyle w:val="ListParagraph"/>
        <w:numPr>
          <w:ilvl w:val="0"/>
          <w:numId w:val="1"/>
        </w:numPr>
        <w:spacing w:after="40" w:before="40"/>
      </w:pPr>
      <w:r>
        <w:rPr>
          <w:rFonts w:ascii="Calibri" w:cs="Calibri" w:eastAsia="Calibri" w:hAnsi="Calibri"/>
          <w:b/>
          <w:bCs/>
          <w:color w:val="1E293B"/>
          <w:sz w:val="22"/>
          <w:szCs w:val="22"/>
        </w:rPr>
        <w:t xml:space="preserve">Bloqueo Preventivo:</w:t>
      </w:r>
      <w:r>
        <w:rPr>
          <w:rFonts w:ascii="Calibri" w:cs="Calibri" w:eastAsia="Calibri" w:hAnsi="Calibri"/>
          <w:color w:val="1E293B"/>
          <w:sz w:val="22"/>
          <w:szCs w:val="22"/>
        </w:rPr>
        <w:t xml:space="preserve"> El botón de cobro permanece inhabilitado hasta que el cajero marque una casilla obligatoria certificando haber exigido y verificado la Cédula de Identidad del cliente que acredite mayoría de edad (+18).</w:t>
      </w:r>
    </w:p>
    <w:p>
      <w:pPr>
        <w:pStyle w:val="ListParagraph"/>
        <w:numPr>
          <w:ilvl w:val="0"/>
          <w:numId w:val="1"/>
        </w:numPr>
        <w:spacing w:after="40" w:before="40"/>
      </w:pPr>
      <w:r>
        <w:rPr>
          <w:rFonts w:ascii="Calibri" w:cs="Calibri" w:eastAsia="Calibri" w:hAnsi="Calibri"/>
          <w:b/>
          <w:bCs/>
          <w:color w:val="1E293B"/>
          <w:sz w:val="22"/>
          <w:szCs w:val="22"/>
        </w:rPr>
        <w:t xml:space="preserve">Certificación en Ticket:</w:t>
      </w:r>
      <w:r>
        <w:rPr>
          <w:rFonts w:ascii="Calibri" w:cs="Calibri" w:eastAsia="Calibri" w:hAnsi="Calibri"/>
          <w:color w:val="1E293B"/>
          <w:sz w:val="22"/>
          <w:szCs w:val="22"/>
        </w:rPr>
        <w:t xml:space="preserve"> El ticket térmico impreso estampa una leyenda oficial de certificación de edad para respaldo ante fiscalizaciones de Carabineros de Chile o inspectores municipales.</w:t>
      </w:r>
    </w:p>
    <w:p>
      <w:pPr>
        <w:pStyle w:val="ListParagraph"/>
        <w:numPr>
          <w:ilvl w:val="0"/>
          <w:numId w:val="1"/>
        </w:numPr>
        <w:spacing w:after="40" w:before="40"/>
      </w:pPr>
      <w:r>
        <w:rPr>
          <w:rFonts w:ascii="Calibri" w:cs="Calibri" w:eastAsia="Calibri" w:hAnsi="Calibri"/>
          <w:b/>
          <w:bCs/>
          <w:color w:val="1E293B"/>
          <w:sz w:val="22"/>
          <w:szCs w:val="22"/>
        </w:rPr>
        <w:t xml:space="preserve">Marco Legal:</w:t>
      </w:r>
      <w:r>
        <w:rPr>
          <w:rFonts w:ascii="Calibri" w:cs="Calibri" w:eastAsia="Calibri" w:hAnsi="Calibri"/>
          <w:color w:val="1E293B"/>
          <w:sz w:val="22"/>
          <w:szCs w:val="22"/>
        </w:rPr>
        <w:t xml:space="preserve"> Normativa: Ley N° 19.925 sobre Expendio y Consumo de Bebidas Alcohólicas y Ley N° 21.363.</w:t>
      </w:r>
    </w:p>
    <w:p>
      <w:pPr>
        <w:pStyle w:val="Heading2"/>
        <w:spacing w:after="100" w:before="300"/>
      </w:pPr>
      <w:r>
        <w:t xml:space="preserve">4.3. Regla Legal de Redondeo en Efectivo (Ley N° 20.956)</w:t>
      </w:r>
    </w:p>
    <w:p>
      <w:pPr>
        <w:spacing w:after="60" w:before="60"/>
      </w:pPr>
      <w:r>
        <w:rPr>
          <w:rFonts w:ascii="Calibri" w:cs="Calibri" w:eastAsia="Calibri" w:hAnsi="Calibri"/>
          <w:color w:val="1E293B"/>
          <w:sz w:val="22"/>
          <w:szCs w:val="22"/>
        </w:rPr>
        <w:t xml:space="preserve">Ajuste matemático legal exigido por el Ministerio de Hacienda para pagos realizados en dinero efectivo, tras el retiro de circulación de las monedas de $1 y $5.</w:t>
      </w:r>
    </w:p>
    <w:p>
      <w:pPr>
        <w:pStyle w:val="ListParagraph"/>
        <w:numPr>
          <w:ilvl w:val="0"/>
          <w:numId w:val="1"/>
        </w:numPr>
        <w:spacing w:after="40" w:before="40"/>
      </w:pPr>
      <w:r>
        <w:rPr>
          <w:rFonts w:ascii="Calibri" w:cs="Calibri" w:eastAsia="Calibri" w:hAnsi="Calibri"/>
          <w:b/>
          <w:bCs/>
          <w:color w:val="1E293B"/>
          <w:sz w:val="22"/>
          <w:szCs w:val="22"/>
        </w:rPr>
        <w:t xml:space="preserve">Algoritmo Oficial:</w:t>
      </w:r>
      <w:r>
        <w:rPr>
          <w:rFonts w:ascii="Calibri" w:cs="Calibri" w:eastAsia="Calibri" w:hAnsi="Calibri"/>
          <w:color w:val="1E293B"/>
          <w:sz w:val="22"/>
          <w:szCs w:val="22"/>
        </w:rPr>
        <w:t xml:space="preserve"> Si el total final de la venta termina en dígitos entre $1 y $4, se ajusta hacia la decena inferior ($0). Si termina en dígitos entre $5 y $9, se ajusta hacia la decena superior ($10).</w:t>
      </w:r>
    </w:p>
    <w:p>
      <w:pPr>
        <w:pStyle w:val="ListParagraph"/>
        <w:numPr>
          <w:ilvl w:val="0"/>
          <w:numId w:val="1"/>
        </w:numPr>
        <w:spacing w:after="40" w:before="40"/>
      </w:pPr>
      <w:r>
        <w:rPr>
          <w:rFonts w:ascii="Calibri" w:cs="Calibri" w:eastAsia="Calibri" w:hAnsi="Calibri"/>
          <w:b/>
          <w:bCs/>
          <w:color w:val="1E293B"/>
          <w:sz w:val="22"/>
          <w:szCs w:val="22"/>
        </w:rPr>
        <w:t xml:space="preserve">Exclusividad de Medio:</w:t>
      </w:r>
      <w:r>
        <w:rPr>
          <w:rFonts w:ascii="Calibri" w:cs="Calibri" w:eastAsia="Calibri" w:hAnsi="Calibri"/>
          <w:color w:val="1E293B"/>
          <w:sz w:val="22"/>
          <w:szCs w:val="22"/>
        </w:rPr>
        <w:t xml:space="preserve"> La ley estipula expresamente que el redondeo NO aplica a pagos electrónicos (Tarjetas, RutPay, Transferencias). GesTock aplica la regla exclusivamente cuando el cajero selecciona EFECTIVO.</w:t>
      </w:r>
    </w:p>
    <w:p>
      <w:pPr>
        <w:pStyle w:val="ListParagraph"/>
        <w:numPr>
          <w:ilvl w:val="0"/>
          <w:numId w:val="1"/>
        </w:numPr>
        <w:spacing w:after="40" w:before="40"/>
      </w:pPr>
      <w:r>
        <w:rPr>
          <w:rFonts w:ascii="Calibri" w:cs="Calibri" w:eastAsia="Calibri" w:hAnsi="Calibri"/>
          <w:b/>
          <w:bCs/>
          <w:color w:val="1E293B"/>
          <w:sz w:val="22"/>
          <w:szCs w:val="22"/>
        </w:rPr>
        <w:t xml:space="preserve">Desglose en Comprobante:</w:t>
      </w:r>
      <w:r>
        <w:rPr>
          <w:rFonts w:ascii="Calibri" w:cs="Calibri" w:eastAsia="Calibri" w:hAnsi="Calibri"/>
          <w:color w:val="1E293B"/>
          <w:sz w:val="22"/>
          <w:szCs w:val="22"/>
        </w:rPr>
        <w:t xml:space="preserve"> El ticket térmico muestra el Total Original, el Ajuste de Redondeo (descuento o recargo) y el Total a Pagar en Efectivo.</w:t>
      </w:r>
    </w:p>
    <w:p>
      <w:pPr>
        <w:pStyle w:val="Heading2"/>
        <w:spacing w:after="100" w:before="300"/>
      </w:pPr>
      <w:r>
        <w:t xml:space="preserve">4.4. Botón Rápido de Bolsa Reutilizable (Ley N° 21.368)</w:t>
      </w:r>
    </w:p>
    <w:p>
      <w:pPr>
        <w:spacing w:after="60" w:before="60"/>
      </w:pPr>
      <w:r>
        <w:rPr>
          <w:rFonts w:ascii="Calibri" w:cs="Calibri" w:eastAsia="Calibri" w:hAnsi="Calibri"/>
          <w:color w:val="1E293B"/>
          <w:sz w:val="22"/>
          <w:szCs w:val="22"/>
        </w:rPr>
        <w:t xml:space="preserve">Módulo de apoyo a la Ley que regula los plásticos de un solo uso y el fomento del reciclaje.</w:t>
      </w:r>
    </w:p>
    <w:p>
      <w:pPr>
        <w:pStyle w:val="ListParagraph"/>
        <w:numPr>
          <w:ilvl w:val="0"/>
          <w:numId w:val="1"/>
        </w:numPr>
        <w:spacing w:after="40" w:before="40"/>
      </w:pPr>
      <w:r>
        <w:rPr>
          <w:rFonts w:ascii="Calibri" w:cs="Calibri" w:eastAsia="Calibri" w:hAnsi="Calibri"/>
          <w:b/>
          <w:bCs/>
          <w:color w:val="1E293B"/>
          <w:sz w:val="22"/>
          <w:szCs w:val="22"/>
        </w:rPr>
        <w:t xml:space="preserve">Operación en 1 Clic:</w:t>
      </w:r>
      <w:r>
        <w:rPr>
          <w:rFonts w:ascii="Calibri" w:cs="Calibri" w:eastAsia="Calibri" w:hAnsi="Calibri"/>
          <w:color w:val="1E293B"/>
          <w:sz w:val="22"/>
          <w:szCs w:val="22"/>
        </w:rPr>
        <w:t xml:space="preserve"> En la cabecera del carrito se ubica el botón "+ Bolsa Reutilizable ($1.000)" que añade de forma instantánea el ítem con SKU legal BOLSA-REUT-01 con precio fijado en $1.000 afecto a IVA.</w:t>
      </w:r>
    </w:p>
    <w:p>
      <w:pPr>
        <w:pStyle w:val="ListParagraph"/>
        <w:numPr>
          <w:ilvl w:val="0"/>
          <w:numId w:val="1"/>
        </w:numPr>
        <w:spacing w:after="40" w:before="40"/>
      </w:pPr>
      <w:r>
        <w:rPr>
          <w:rFonts w:ascii="Calibri" w:cs="Calibri" w:eastAsia="Calibri" w:hAnsi="Calibri"/>
          <w:b/>
          <w:bCs/>
          <w:color w:val="1E293B"/>
          <w:sz w:val="22"/>
          <w:szCs w:val="22"/>
        </w:rPr>
        <w:t xml:space="preserve">Tratamiento Tributario:</w:t>
      </w:r>
      <w:r>
        <w:rPr>
          <w:rFonts w:ascii="Calibri" w:cs="Calibri" w:eastAsia="Calibri" w:hAnsi="Calibri"/>
          <w:color w:val="1E293B"/>
          <w:sz w:val="22"/>
          <w:szCs w:val="22"/>
        </w:rPr>
        <w:t xml:space="preserve"> El ítem se computa afecto a IVA (19%) y se totaliza en el ticket fiscal sin retrasar la atención de la fila en caja.</w:t>
      </w:r>
    </w:p>
    <w:p>
      <w:pPr>
        <w:pStyle w:val="Heading2"/>
        <w:spacing w:after="100" w:before="300"/>
      </w:pPr>
      <w:r>
        <w:t xml:space="preserve">4.5. Pasarelas de Pago Multi-Canal y RutPay (PCI-DSS v4.0)</w:t>
      </w:r>
    </w:p>
    <w:p>
      <w:pPr>
        <w:spacing w:after="60" w:before="60"/>
      </w:pPr>
      <w:r>
        <w:rPr>
          <w:rFonts w:ascii="Calibri" w:cs="Calibri" w:eastAsia="Calibri" w:hAnsi="Calibri"/>
          <w:color w:val="1E293B"/>
          <w:sz w:val="22"/>
          <w:szCs w:val="22"/>
        </w:rPr>
        <w:t xml:space="preserve">Orquestador de medios de pago que permite cobrar con cualquier instrumento financiero en Chile.</w:t>
      </w:r>
    </w:p>
    <w:p>
      <w:pPr>
        <w:pStyle w:val="ListParagraph"/>
        <w:numPr>
          <w:ilvl w:val="0"/>
          <w:numId w:val="1"/>
        </w:numPr>
        <w:spacing w:after="40" w:before="40"/>
      </w:pPr>
      <w:r>
        <w:rPr>
          <w:rFonts w:ascii="Calibri" w:cs="Calibri" w:eastAsia="Calibri" w:hAnsi="Calibri"/>
          <w:b/>
          <w:bCs/>
          <w:color w:val="1E293B"/>
          <w:sz w:val="22"/>
          <w:szCs w:val="22"/>
        </w:rPr>
        <w:t xml:space="preserve">💵 Efectivo:</w:t>
      </w:r>
      <w:r>
        <w:rPr>
          <w:rFonts w:ascii="Calibri" w:cs="Calibri" w:eastAsia="Calibri" w:hAnsi="Calibri"/>
          <w:color w:val="1E293B"/>
          <w:sz w:val="22"/>
          <w:szCs w:val="22"/>
        </w:rPr>
        <w:t xml:space="preserve"> Cálculo automático del vuelto a devolver en base al monto entregado por el comprador.</w:t>
      </w:r>
    </w:p>
    <w:p>
      <w:pPr>
        <w:pStyle w:val="ListParagraph"/>
        <w:numPr>
          <w:ilvl w:val="0"/>
          <w:numId w:val="1"/>
        </w:numPr>
        <w:spacing w:after="40" w:before="40"/>
      </w:pPr>
      <w:r>
        <w:rPr>
          <w:rFonts w:ascii="Calibri" w:cs="Calibri" w:eastAsia="Calibri" w:hAnsi="Calibri"/>
          <w:b/>
          <w:bCs/>
          <w:color w:val="1E293B"/>
          <w:sz w:val="22"/>
          <w:szCs w:val="22"/>
        </w:rPr>
        <w:t xml:space="preserve">🟡 RutPay (BancoEstado):</w:t>
      </w:r>
      <w:r>
        <w:rPr>
          <w:rFonts w:ascii="Calibri" w:cs="Calibri" w:eastAsia="Calibri" w:hAnsi="Calibri"/>
          <w:color w:val="1E293B"/>
          <w:sz w:val="22"/>
          <w:szCs w:val="22"/>
        </w:rPr>
        <w:t xml:space="preserve"> Integración oficial para pagos móviles y transferencias CuentaRUT mediante la pasarela tokenizada de BancoEstado.</w:t>
      </w:r>
    </w:p>
    <w:p>
      <w:pPr>
        <w:pStyle w:val="ListParagraph"/>
        <w:numPr>
          <w:ilvl w:val="0"/>
          <w:numId w:val="1"/>
        </w:numPr>
        <w:spacing w:after="40" w:before="40"/>
      </w:pPr>
      <w:r>
        <w:rPr>
          <w:rFonts w:ascii="Calibri" w:cs="Calibri" w:eastAsia="Calibri" w:hAnsi="Calibri"/>
          <w:b/>
          <w:bCs/>
          <w:color w:val="1E293B"/>
          <w:sz w:val="22"/>
          <w:szCs w:val="22"/>
        </w:rPr>
        <w:t xml:space="preserve">💳 Transbank:</w:t>
      </w:r>
      <w:r>
        <w:rPr>
          <w:rFonts w:ascii="Calibri" w:cs="Calibri" w:eastAsia="Calibri" w:hAnsi="Calibri"/>
          <w:color w:val="1E293B"/>
          <w:sz w:val="22"/>
          <w:szCs w:val="22"/>
        </w:rPr>
        <w:t xml:space="preserve"> Integración con Webpay Plus y terminales físicos POS para tarjetas de débito (Redcompra) y crédito.</w:t>
      </w:r>
    </w:p>
    <w:p>
      <w:pPr>
        <w:pStyle w:val="ListParagraph"/>
        <w:numPr>
          <w:ilvl w:val="0"/>
          <w:numId w:val="1"/>
        </w:numPr>
        <w:spacing w:after="40" w:before="40"/>
      </w:pPr>
      <w:r>
        <w:rPr>
          <w:rFonts w:ascii="Calibri" w:cs="Calibri" w:eastAsia="Calibri" w:hAnsi="Calibri"/>
          <w:b/>
          <w:bCs/>
          <w:color w:val="1E293B"/>
          <w:sz w:val="22"/>
          <w:szCs w:val="22"/>
        </w:rPr>
        <w:t xml:space="preserve">🔵 Mercado Pago:</w:t>
      </w:r>
      <w:r>
        <w:rPr>
          <w:rFonts w:ascii="Calibri" w:cs="Calibri" w:eastAsia="Calibri" w:hAnsi="Calibri"/>
          <w:color w:val="1E293B"/>
          <w:sz w:val="22"/>
          <w:szCs w:val="22"/>
        </w:rPr>
        <w:t xml:space="preserve"> Cobro rápido en caja mediante generación de código QR dinámico y checkout.</w:t>
      </w:r>
    </w:p>
    <w:p>
      <w:pPr>
        <w:pStyle w:val="ListParagraph"/>
        <w:numPr>
          <w:ilvl w:val="0"/>
          <w:numId w:val="1"/>
        </w:numPr>
        <w:spacing w:after="40" w:before="40"/>
      </w:pPr>
      <w:r>
        <w:rPr>
          <w:rFonts w:ascii="Calibri" w:cs="Calibri" w:eastAsia="Calibri" w:hAnsi="Calibri"/>
          <w:b/>
          <w:bCs/>
          <w:color w:val="1E293B"/>
          <w:sz w:val="22"/>
          <w:szCs w:val="22"/>
        </w:rPr>
        <w:t xml:space="preserve">🔴 SumUp:</w:t>
      </w:r>
      <w:r>
        <w:rPr>
          <w:rFonts w:ascii="Calibri" w:cs="Calibri" w:eastAsia="Calibri" w:hAnsi="Calibri"/>
          <w:color w:val="1E293B"/>
          <w:sz w:val="22"/>
          <w:szCs w:val="22"/>
        </w:rPr>
        <w:t xml:space="preserve"> Cobro mediante lectores móviles de tarjeta compactos Bluetooth / USB.</w:t>
      </w:r>
    </w:p>
    <w:p>
      <w:pPr>
        <w:pStyle w:val="ListParagraph"/>
        <w:numPr>
          <w:ilvl w:val="0"/>
          <w:numId w:val="1"/>
        </w:numPr>
        <w:spacing w:after="40" w:before="40"/>
      </w:pPr>
      <w:r>
        <w:rPr>
          <w:rFonts w:ascii="Calibri" w:cs="Calibri" w:eastAsia="Calibri" w:hAnsi="Calibri"/>
          <w:b/>
          <w:bCs/>
          <w:color w:val="1E293B"/>
          <w:sz w:val="22"/>
          <w:szCs w:val="22"/>
        </w:rPr>
        <w:t xml:space="preserve">Seguridad y Contingencia:</w:t>
      </w:r>
      <w:r>
        <w:rPr>
          <w:rFonts w:ascii="Calibri" w:cs="Calibri" w:eastAsia="Calibri" w:hAnsi="Calibri"/>
          <w:color w:val="1E293B"/>
          <w:sz w:val="22"/>
          <w:szCs w:val="22"/>
        </w:rPr>
        <w:t xml:space="preserve"> En cumplimiento estricto con PCI-DSS v4.0, GesTock nunca almacena datos sensibles de tarjetas (PAN, CVV o fechas de caducidad). Si la pasarela bancaria externa no responde, el sistema emite un vale de contingencia offline.</w:t>
      </w:r>
    </w:p>
    <w:p>
      <w:pPr>
        <w:pStyle w:val="Heading2"/>
        <w:spacing w:after="100" w:before="300"/>
      </w:pPr>
      <w:r>
        <w:t xml:space="preserve">4.6. Dashboard Global de Analítica Comercial e Inteligencia de Negocio</w:t>
      </w:r>
    </w:p>
    <w:p>
      <w:pPr>
        <w:spacing w:after="60" w:before="60"/>
      </w:pPr>
      <w:r>
        <w:rPr>
          <w:rFonts w:ascii="Calibri" w:cs="Calibri" w:eastAsia="Calibri" w:hAnsi="Calibri"/>
          <w:color w:val="1E293B"/>
          <w:sz w:val="22"/>
          <w:szCs w:val="22"/>
        </w:rPr>
        <w:t xml:space="preserve">Centro de control ejecutivo que consolida el desempeño comercial del establecimiento.</w:t>
      </w:r>
    </w:p>
    <w:p>
      <w:pPr>
        <w:pStyle w:val="ListParagraph"/>
        <w:numPr>
          <w:ilvl w:val="0"/>
          <w:numId w:val="1"/>
        </w:numPr>
        <w:spacing w:after="40" w:before="40"/>
      </w:pPr>
      <w:r>
        <w:rPr>
          <w:rFonts w:ascii="Calibri" w:cs="Calibri" w:eastAsia="Calibri" w:hAnsi="Calibri"/>
          <w:b/>
          <w:bCs/>
          <w:color w:val="1E293B"/>
          <w:sz w:val="22"/>
          <w:szCs w:val="22"/>
        </w:rPr>
        <w:t xml:space="preserve">Selectores Temporales:</w:t>
      </w:r>
      <w:r>
        <w:rPr>
          <w:rFonts w:ascii="Calibri" w:cs="Calibri" w:eastAsia="Calibri" w:hAnsi="Calibri"/>
          <w:color w:val="1E293B"/>
          <w:sz w:val="22"/>
          <w:szCs w:val="22"/>
        </w:rPr>
        <w:t xml:space="preserve"> Permite analizar la información en modo Diario (hora por hora del día actual), Mensual (día a día del mes seleccionado) o Histórico Total (mes a mes con vista global).</w:t>
      </w:r>
    </w:p>
    <w:p>
      <w:pPr>
        <w:pStyle w:val="ListParagraph"/>
        <w:numPr>
          <w:ilvl w:val="0"/>
          <w:numId w:val="1"/>
        </w:numPr>
        <w:spacing w:after="40" w:before="40"/>
      </w:pPr>
      <w:r>
        <w:rPr>
          <w:rFonts w:ascii="Calibri" w:cs="Calibri" w:eastAsia="Calibri" w:hAnsi="Calibri"/>
          <w:b/>
          <w:bCs/>
          <w:color w:val="1E293B"/>
          <w:sz w:val="22"/>
          <w:szCs w:val="22"/>
        </w:rPr>
        <w:t xml:space="preserve">8 Tarjetas de KPIs Clave:</w:t>
      </w:r>
      <w:r>
        <w:rPr>
          <w:rFonts w:ascii="Calibri" w:cs="Calibri" w:eastAsia="Calibri" w:hAnsi="Calibri"/>
          <w:color w:val="1E293B"/>
          <w:sz w:val="22"/>
          <w:szCs w:val="22"/>
        </w:rPr>
        <w:t xml:space="preserve"> Ventas Brutas Totales, Ventas Netas e IVA Débito, Utilidad Bruta Estimada ($), Margen Comercial Promedio (%), Ticket Promedio ($), Unidades Totales Vendidas, Valorización de Inventario (a costo y precio de venta) y Salud de Stock (críticos y agotados).</w:t>
      </w:r>
    </w:p>
    <w:p>
      <w:pPr>
        <w:pStyle w:val="ListParagraph"/>
        <w:numPr>
          <w:ilvl w:val="0"/>
          <w:numId w:val="1"/>
        </w:numPr>
        <w:spacing w:after="40" w:before="40"/>
      </w:pPr>
      <w:r>
        <w:rPr>
          <w:rFonts w:ascii="Calibri" w:cs="Calibri" w:eastAsia="Calibri" w:hAnsi="Calibri"/>
          <w:b/>
          <w:bCs/>
          <w:color w:val="1E293B"/>
          <w:sz w:val="22"/>
          <w:szCs w:val="22"/>
        </w:rPr>
        <w:t xml:space="preserve">4 Gráficos Interactivos (Chart.js):</w:t>
      </w:r>
      <w:r>
        <w:rPr>
          <w:rFonts w:ascii="Calibri" w:cs="Calibri" w:eastAsia="Calibri" w:hAnsi="Calibri"/>
          <w:color w:val="1E293B"/>
          <w:sz w:val="22"/>
          <w:szCs w:val="22"/>
        </w:rPr>
        <w:t xml:space="preserve"> Gráfico 1: Evolución temporal de ingresos ($). Gráfico 2: Desglose porcentual por pasarela de pago. Gráfico 3: Ranking de productos más vendidos. Gráfico 4: Volumen histórico de compras por proveedor.</w:t>
      </w:r>
    </w:p>
    <w:p>
      <w:pPr>
        <w:pStyle w:val="ListParagraph"/>
        <w:numPr>
          <w:ilvl w:val="0"/>
          <w:numId w:val="1"/>
        </w:numPr>
        <w:spacing w:after="40" w:before="40"/>
      </w:pPr>
      <w:r>
        <w:rPr>
          <w:rFonts w:ascii="Calibri" w:cs="Calibri" w:eastAsia="Calibri" w:hAnsi="Calibri"/>
          <w:b/>
          <w:bCs/>
          <w:color w:val="1E293B"/>
          <w:sz w:val="22"/>
          <w:szCs w:val="22"/>
        </w:rPr>
        <w:t xml:space="preserve">Tablas de Rendimiento:</w:t>
      </w:r>
      <w:r>
        <w:rPr>
          <w:rFonts w:ascii="Calibri" w:cs="Calibri" w:eastAsia="Calibri" w:hAnsi="Calibri"/>
          <w:color w:val="1E293B"/>
          <w:sz w:val="22"/>
          <w:szCs w:val="22"/>
        </w:rPr>
        <w:t xml:space="preserve"> Tablas detalladas con márgenes por producto y volumen de abastecimiento por distribuidor.</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 /api/v1/dashboard/metrics?view=daily|monthly|all | Tablas: transacciones_venta, productos, proveedores.</w:t>
      </w:r>
    </w:p>
    <w:p>
      <w:pPr>
        <w:pStyle w:val="Heading2"/>
        <w:spacing w:after="100" w:before="300"/>
      </w:pPr>
      <w:r>
        <w:t xml:space="preserve">4.7. Inventario, Trazabilidad Sanitaria y Semáforo FEFO (MINSAL D.S. 977/96)</w:t>
      </w:r>
    </w:p>
    <w:p>
      <w:pPr>
        <w:spacing w:after="60" w:before="60"/>
      </w:pPr>
      <w:r>
        <w:rPr>
          <w:rFonts w:ascii="Calibri" w:cs="Calibri" w:eastAsia="Calibri" w:hAnsi="Calibri"/>
          <w:color w:val="1E293B"/>
          <w:sz w:val="22"/>
          <w:szCs w:val="22"/>
        </w:rPr>
        <w:t xml:space="preserve">Administración integral de existencias con estricto control de inocuidad alimentaria.</w:t>
      </w:r>
    </w:p>
    <w:p>
      <w:pPr>
        <w:pStyle w:val="ListParagraph"/>
        <w:numPr>
          <w:ilvl w:val="0"/>
          <w:numId w:val="1"/>
        </w:numPr>
        <w:spacing w:after="40" w:before="40"/>
      </w:pPr>
      <w:r>
        <w:rPr>
          <w:rFonts w:ascii="Calibri" w:cs="Calibri" w:eastAsia="Calibri" w:hAnsi="Calibri"/>
          <w:b/>
          <w:bCs/>
          <w:color w:val="1E293B"/>
          <w:sz w:val="22"/>
          <w:szCs w:val="22"/>
        </w:rPr>
        <w:t xml:space="preserve">Catálogo Completo:</w:t>
      </w:r>
      <w:r>
        <w:rPr>
          <w:rFonts w:ascii="Calibri" w:cs="Calibri" w:eastAsia="Calibri" w:hAnsi="Calibri"/>
          <w:color w:val="1E293B"/>
          <w:sz w:val="22"/>
          <w:szCs w:val="22"/>
        </w:rPr>
        <w:t xml:space="preserve"> Alta, baja y modificación de productos con SKU, código de barra, costo de compra, precio de venta, categoría, lote sanitario y fecha de caducidad.</w:t>
      </w:r>
    </w:p>
    <w:p>
      <w:pPr>
        <w:pStyle w:val="ListParagraph"/>
        <w:numPr>
          <w:ilvl w:val="0"/>
          <w:numId w:val="1"/>
        </w:numPr>
        <w:spacing w:after="40" w:before="40"/>
      </w:pPr>
      <w:r>
        <w:rPr>
          <w:rFonts w:ascii="Calibri" w:cs="Calibri" w:eastAsia="Calibri" w:hAnsi="Calibri"/>
          <w:b/>
          <w:bCs/>
          <w:color w:val="1E293B"/>
          <w:sz w:val="22"/>
          <w:szCs w:val="22"/>
        </w:rPr>
        <w:t xml:space="preserve">Semáforo Sanitario Tricolor:</w:t>
      </w:r>
      <w:r>
        <w:rPr>
          <w:rFonts w:ascii="Calibri" w:cs="Calibri" w:eastAsia="Calibri" w:hAnsi="Calibri"/>
          <w:color w:val="1E293B"/>
          <w:sz w:val="22"/>
          <w:szCs w:val="22"/>
        </w:rPr>
        <w:t xml:space="preserve"> Código Rojo Crítico (vence en ≤7 días o ya vencido), Naranja Urgente (8 a 15 días) y Verde Seguro (&gt;15 días).</w:t>
      </w:r>
    </w:p>
    <w:p>
      <w:pPr>
        <w:pStyle w:val="ListParagraph"/>
        <w:numPr>
          <w:ilvl w:val="0"/>
          <w:numId w:val="1"/>
        </w:numPr>
        <w:spacing w:after="40" w:before="40"/>
      </w:pPr>
      <w:r>
        <w:rPr>
          <w:rFonts w:ascii="Calibri" w:cs="Calibri" w:eastAsia="Calibri" w:hAnsi="Calibri"/>
          <w:b/>
          <w:bCs/>
          <w:color w:val="1E293B"/>
          <w:sz w:val="22"/>
          <w:szCs w:val="22"/>
        </w:rPr>
        <w:t xml:space="preserve">Filtro Preventivo FEFO:</w:t>
      </w:r>
      <w:r>
        <w:rPr>
          <w:rFonts w:ascii="Calibri" w:cs="Calibri" w:eastAsia="Calibri" w:hAnsi="Calibri"/>
          <w:color w:val="1E293B"/>
          <w:sz w:val="22"/>
          <w:szCs w:val="22"/>
        </w:rPr>
        <w:t xml:space="preserve"> Botón que filtra en un clic los artículos en riesgo de caducidad para implementar estrategias de salida rápida FEFO ("First-Expired, First-Out") con ofertas en caja.</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 /api/v1/pos/inventory | Tablas: productos, historial_stock.</w:t>
      </w:r>
    </w:p>
    <w:p>
      <w:pPr>
        <w:pStyle w:val="Heading2"/>
        <w:spacing w:after="100" w:before="300"/>
      </w:pPr>
      <w:r>
        <w:t xml:space="preserve">4.8. Generador de Etiquetas de Góndola y Códigos de Barra (Ley SERNAC N° 19.496)</w:t>
      </w:r>
    </w:p>
    <w:p>
      <w:pPr>
        <w:spacing w:after="60" w:before="60"/>
      </w:pPr>
      <w:r>
        <w:rPr>
          <w:rFonts w:ascii="Calibri" w:cs="Calibri" w:eastAsia="Calibri" w:hAnsi="Calibri"/>
          <w:color w:val="1E293B"/>
          <w:sz w:val="22"/>
          <w:szCs w:val="22"/>
        </w:rPr>
        <w:t xml:space="preserve">Módulo que asegura el derecho del consumidor a la información fidedigna de precios en estantería.</w:t>
      </w:r>
    </w:p>
    <w:p>
      <w:pPr>
        <w:pStyle w:val="ListParagraph"/>
        <w:numPr>
          <w:ilvl w:val="0"/>
          <w:numId w:val="1"/>
        </w:numPr>
        <w:spacing w:after="40" w:before="40"/>
      </w:pPr>
      <w:r>
        <w:rPr>
          <w:rFonts w:ascii="Calibri" w:cs="Calibri" w:eastAsia="Calibri" w:hAnsi="Calibri"/>
          <w:b/>
          <w:bCs/>
          <w:color w:val="1E293B"/>
          <w:sz w:val="22"/>
          <w:szCs w:val="22"/>
        </w:rPr>
        <w:t xml:space="preserve">Generador Vectorial Code 39:</w:t>
      </w:r>
      <w:r>
        <w:rPr>
          <w:rFonts w:ascii="Calibri" w:cs="Calibri" w:eastAsia="Calibri" w:hAnsi="Calibri"/>
          <w:color w:val="1E293B"/>
          <w:sz w:val="22"/>
          <w:szCs w:val="22"/>
        </w:rPr>
        <w:t xml:space="preserve"> Dibuja barras vectoriales SVG puras y legibles por cualquier lector óptico o láser a 300+ DPI sin depender de fuentes externas.</w:t>
      </w:r>
    </w:p>
    <w:p>
      <w:pPr>
        <w:pStyle w:val="ListParagraph"/>
        <w:numPr>
          <w:ilvl w:val="0"/>
          <w:numId w:val="1"/>
        </w:numPr>
        <w:spacing w:after="40" w:before="40"/>
      </w:pPr>
      <w:r>
        <w:rPr>
          <w:rFonts w:ascii="Calibri" w:cs="Calibri" w:eastAsia="Calibri" w:hAnsi="Calibri"/>
          <w:b/>
          <w:bCs/>
          <w:color w:val="1E293B"/>
          <w:sz w:val="22"/>
          <w:szCs w:val="22"/>
        </w:rPr>
        <w:t xml:space="preserve">Formato de Góndola Estándar:</w:t>
      </w:r>
      <w:r>
        <w:rPr>
          <w:rFonts w:ascii="Calibri" w:cs="Calibri" w:eastAsia="Calibri" w:hAnsi="Calibri"/>
          <w:color w:val="1E293B"/>
          <w:sz w:val="22"/>
          <w:szCs w:val="22"/>
        </w:rPr>
        <w:t xml:space="preserve"> Incluye Nombre del Producto, SKU, Código de Barras escaneable y Precio de Venta con IVA Destacado en tamaño gigante.</w:t>
      </w:r>
    </w:p>
    <w:p>
      <w:pPr>
        <w:pStyle w:val="ListParagraph"/>
        <w:numPr>
          <w:ilvl w:val="0"/>
          <w:numId w:val="1"/>
        </w:numPr>
        <w:spacing w:after="40" w:before="40"/>
      </w:pPr>
      <w:r>
        <w:rPr>
          <w:rFonts w:ascii="Calibri" w:cs="Calibri" w:eastAsia="Calibri" w:hAnsi="Calibri"/>
          <w:b/>
          <w:bCs/>
          <w:color w:val="1E293B"/>
          <w:sz w:val="22"/>
          <w:szCs w:val="22"/>
        </w:rPr>
        <w:t xml:space="preserve">Hoja Imprimible:</w:t>
      </w:r>
      <w:r>
        <w:rPr>
          <w:rFonts w:ascii="Calibri" w:cs="Calibri" w:eastAsia="Calibri" w:hAnsi="Calibri"/>
          <w:color w:val="1E293B"/>
          <w:sz w:val="22"/>
          <w:szCs w:val="22"/>
        </w:rPr>
        <w:t xml:space="preserve"> Dispone los rótulos en grilla imprimible de 3 columnas compatible con hojas de etiquetas autoadhesivas estándar de oficina.</w:t>
      </w:r>
    </w:p>
    <w:p>
      <w:pPr>
        <w:pStyle w:val="Heading2"/>
        <w:spacing w:after="100" w:before="300"/>
      </w:pPr>
      <w:r>
        <w:t xml:space="preserve">4.9. Registro de Ventas, Garantía Legal y Devoluciones Pro-Consumidor (Ley N° 21.398)</w:t>
      </w:r>
    </w:p>
    <w:p>
      <w:pPr>
        <w:spacing w:after="60" w:before="60"/>
      </w:pPr>
      <w:r>
        <w:rPr>
          <w:rFonts w:ascii="Calibri" w:cs="Calibri" w:eastAsia="Calibri" w:hAnsi="Calibri"/>
          <w:color w:val="1E293B"/>
          <w:sz w:val="22"/>
          <w:szCs w:val="22"/>
        </w:rPr>
        <w:t xml:space="preserve">Historial de operaciones y procesamiento de la garantía legal chilena de 6 meses.</w:t>
      </w:r>
    </w:p>
    <w:p>
      <w:pPr>
        <w:pStyle w:val="ListParagraph"/>
        <w:numPr>
          <w:ilvl w:val="0"/>
          <w:numId w:val="1"/>
        </w:numPr>
        <w:spacing w:after="40" w:before="40"/>
      </w:pPr>
      <w:r>
        <w:rPr>
          <w:rFonts w:ascii="Calibri" w:cs="Calibri" w:eastAsia="Calibri" w:hAnsi="Calibri"/>
          <w:b/>
          <w:bCs/>
          <w:color w:val="1E293B"/>
          <w:sz w:val="22"/>
          <w:szCs w:val="22"/>
        </w:rPr>
        <w:t xml:space="preserve">Bandeja de Transacciones:</w:t>
      </w:r>
      <w:r>
        <w:rPr>
          <w:rFonts w:ascii="Calibri" w:cs="Calibri" w:eastAsia="Calibri" w:hAnsi="Calibri"/>
          <w:color w:val="1E293B"/>
          <w:sz w:val="22"/>
          <w:szCs w:val="22"/>
        </w:rPr>
        <w:t xml:space="preserve"> Consulta histórica de comprobantes emitidos con filtros por fecha, estado y medio de pago.</w:t>
      </w:r>
    </w:p>
    <w:p>
      <w:pPr>
        <w:pStyle w:val="ListParagraph"/>
        <w:numPr>
          <w:ilvl w:val="0"/>
          <w:numId w:val="1"/>
        </w:numPr>
        <w:spacing w:after="40" w:before="40"/>
      </w:pPr>
      <w:r>
        <w:rPr>
          <w:rFonts w:ascii="Calibri" w:cs="Calibri" w:eastAsia="Calibri" w:hAnsi="Calibri"/>
          <w:b/>
          <w:bCs/>
          <w:color w:val="1E293B"/>
          <w:sz w:val="22"/>
          <w:szCs w:val="22"/>
        </w:rPr>
        <w:t xml:space="preserve">Garantía Legal de 6 Meses:</w:t>
      </w:r>
      <w:r>
        <w:rPr>
          <w:rFonts w:ascii="Calibri" w:cs="Calibri" w:eastAsia="Calibri" w:hAnsi="Calibri"/>
          <w:color w:val="1E293B"/>
          <w:sz w:val="22"/>
          <w:szCs w:val="22"/>
        </w:rPr>
        <w:t xml:space="preserve"> Modal interactivo que permite seleccionar una venta y elegir si se realiza una devolución total o parcial por ítem.</w:t>
      </w:r>
    </w:p>
    <w:p>
      <w:pPr>
        <w:pStyle w:val="ListParagraph"/>
        <w:numPr>
          <w:ilvl w:val="0"/>
          <w:numId w:val="1"/>
        </w:numPr>
        <w:spacing w:after="40" w:before="40"/>
      </w:pPr>
      <w:r>
        <w:rPr>
          <w:rFonts w:ascii="Calibri" w:cs="Calibri" w:eastAsia="Calibri" w:hAnsi="Calibri"/>
          <w:b/>
          <w:bCs/>
          <w:color w:val="1E293B"/>
          <w:sz w:val="22"/>
          <w:szCs w:val="22"/>
        </w:rPr>
        <w:t xml:space="preserve">Emisión de Nota de Crédito (DTE 61):</w:t>
      </w:r>
      <w:r>
        <w:rPr>
          <w:rFonts w:ascii="Calibri" w:cs="Calibri" w:eastAsia="Calibri" w:hAnsi="Calibri"/>
          <w:color w:val="1E293B"/>
          <w:sz w:val="22"/>
          <w:szCs w:val="22"/>
        </w:rPr>
        <w:t xml:space="preserve"> Genera automáticamente una Nota de Crédito Electrónica (DTE Tipo 61) que referencia el folio y fecha de la boleta o factura de origen mediante los nodos &lt;Referencia&gt; y &lt;RazonRef&gt; exigidos por el SII.</w:t>
      </w:r>
    </w:p>
    <w:p>
      <w:pPr>
        <w:pStyle w:val="ListParagraph"/>
        <w:numPr>
          <w:ilvl w:val="0"/>
          <w:numId w:val="1"/>
        </w:numPr>
        <w:spacing w:after="40" w:before="40"/>
      </w:pPr>
      <w:r>
        <w:rPr>
          <w:rFonts w:ascii="Calibri" w:cs="Calibri" w:eastAsia="Calibri" w:hAnsi="Calibri"/>
          <w:b/>
          <w:bCs/>
          <w:color w:val="1E293B"/>
          <w:sz w:val="22"/>
          <w:szCs w:val="22"/>
        </w:rPr>
        <w:t xml:space="preserve">Reposición Automática:</w:t>
      </w:r>
      <w:r>
        <w:rPr>
          <w:rFonts w:ascii="Calibri" w:cs="Calibri" w:eastAsia="Calibri" w:hAnsi="Calibri"/>
          <w:color w:val="1E293B"/>
          <w:sz w:val="22"/>
          <w:szCs w:val="22"/>
        </w:rPr>
        <w:t xml:space="preserve"> El stock devuelto se reintegra al inventario local de inmediato y se registra en historial_stock.</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/api/v1/pos/returns | Tablas: transacciones_venta, detalle_venta, productos, dte_documentos.</w:t>
      </w:r>
    </w:p>
    <w:p>
      <w:pPr>
        <w:pStyle w:val="Heading2"/>
        <w:spacing w:after="100" w:before="300"/>
      </w:pPr>
      <w:r>
        <w:t xml:space="preserve">4.10. Cierre de Caja con Arqueo Ciego y Reporte Z Térmico 80mm</w:t>
      </w:r>
    </w:p>
    <w:p>
      <w:pPr>
        <w:spacing w:after="60" w:before="60"/>
      </w:pPr>
      <w:r>
        <w:rPr>
          <w:rFonts w:ascii="Calibri" w:cs="Calibri" w:eastAsia="Calibri" w:hAnsi="Calibri"/>
          <w:color w:val="1E293B"/>
          <w:sz w:val="22"/>
          <w:szCs w:val="22"/>
        </w:rPr>
        <w:t xml:space="preserve">Auditoría física y cuadratura obligatoria al término de cada turno de trabajo.</w:t>
      </w:r>
    </w:p>
    <w:p>
      <w:pPr>
        <w:pStyle w:val="ListParagraph"/>
        <w:numPr>
          <w:ilvl w:val="0"/>
          <w:numId w:val="1"/>
        </w:numPr>
        <w:spacing w:after="40" w:before="40"/>
      </w:pPr>
      <w:r>
        <w:rPr>
          <w:rFonts w:ascii="Calibri" w:cs="Calibri" w:eastAsia="Calibri" w:hAnsi="Calibri"/>
          <w:b/>
          <w:bCs/>
          <w:color w:val="1E293B"/>
          <w:sz w:val="22"/>
          <w:szCs w:val="22"/>
        </w:rPr>
        <w:t xml:space="preserve">Arqueo Ciego:</w:t>
      </w:r>
      <w:r>
        <w:rPr>
          <w:rFonts w:ascii="Calibri" w:cs="Calibri" w:eastAsia="Calibri" w:hAnsi="Calibri"/>
          <w:color w:val="1E293B"/>
          <w:sz w:val="22"/>
          <w:szCs w:val="22"/>
        </w:rPr>
        <w:t xml:space="preserve"> El cajero declara el dinero físico en billetes y monedas que tiene en gaveta sin que el sistema le revele previamente cuánto debería haber.</w:t>
      </w:r>
    </w:p>
    <w:p>
      <w:pPr>
        <w:pStyle w:val="ListParagraph"/>
        <w:numPr>
          <w:ilvl w:val="0"/>
          <w:numId w:val="1"/>
        </w:numPr>
        <w:spacing w:after="40" w:before="40"/>
      </w:pPr>
      <w:r>
        <w:rPr>
          <w:rFonts w:ascii="Calibri" w:cs="Calibri" w:eastAsia="Calibri" w:hAnsi="Calibri"/>
          <w:b/>
          <w:bCs/>
          <w:color w:val="1E293B"/>
          <w:sz w:val="22"/>
          <w:szCs w:val="22"/>
        </w:rPr>
        <w:t xml:space="preserve">Movimientos Manuales:</w:t>
      </w:r>
      <w:r>
        <w:rPr>
          <w:rFonts w:ascii="Calibri" w:cs="Calibri" w:eastAsia="Calibri" w:hAnsi="Calibri"/>
          <w:color w:val="1E293B"/>
          <w:sz w:val="22"/>
          <w:szCs w:val="22"/>
        </w:rPr>
        <w:t xml:space="preserve"> Registro de entradas (fondo inicial de cambio) y salidas en efectivo (gastos menores, pago a fleteros o remesas bancarias).</w:t>
      </w:r>
    </w:p>
    <w:p>
      <w:pPr>
        <w:pStyle w:val="ListParagraph"/>
        <w:numPr>
          <w:ilvl w:val="0"/>
          <w:numId w:val="1"/>
        </w:numPr>
        <w:spacing w:after="40" w:before="40"/>
      </w:pPr>
      <w:r>
        <w:rPr>
          <w:rFonts w:ascii="Calibri" w:cs="Calibri" w:eastAsia="Calibri" w:hAnsi="Calibri"/>
          <w:b/>
          <w:bCs/>
          <w:color w:val="1E293B"/>
          <w:sz w:val="22"/>
          <w:szCs w:val="22"/>
        </w:rPr>
        <w:t xml:space="preserve">Fórmula de Cuadratura:</w:t>
      </w:r>
      <w:r>
        <w:rPr>
          <w:rFonts w:ascii="Calibri" w:cs="Calibri" w:eastAsia="Calibri" w:hAnsi="Calibri"/>
          <w:color w:val="1E293B"/>
          <w:sz w:val="22"/>
          <w:szCs w:val="22"/>
        </w:rPr>
        <w:t xml:space="preserve"> Efectivo Esperado = Apertura + Ventas Efectivo + Ingresos Manuales - Egresos Manuales. Determina diferencias con sobrante o faltante.</w:t>
      </w:r>
    </w:p>
    <w:p>
      <w:pPr>
        <w:pStyle w:val="ListParagraph"/>
        <w:numPr>
          <w:ilvl w:val="0"/>
          <w:numId w:val="1"/>
        </w:numPr>
        <w:spacing w:after="40" w:before="40"/>
      </w:pPr>
      <w:r>
        <w:rPr>
          <w:rFonts w:ascii="Calibri" w:cs="Calibri" w:eastAsia="Calibri" w:hAnsi="Calibri"/>
          <w:b/>
          <w:bCs/>
          <w:color w:val="1E293B"/>
          <w:sz w:val="22"/>
          <w:szCs w:val="22"/>
        </w:rPr>
        <w:t xml:space="preserve">Reporte Z Térmico:</w:t>
      </w:r>
      <w:r>
        <w:rPr>
          <w:rFonts w:ascii="Calibri" w:cs="Calibri" w:eastAsia="Calibri" w:hAnsi="Calibri"/>
          <w:color w:val="1E293B"/>
          <w:sz w:val="22"/>
          <w:szCs w:val="22"/>
        </w:rPr>
        <w:t xml:space="preserve"> Emite el comprobante oficial diario con total de ventas brutas, IVA débito acumulado, desglose por medio de pago y correlativos de boletas.</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/api/v1/caja/sesiones/cerrar | Tablas: sesiones_caja, movimientos_caja_manual.</w:t>
      </w:r>
    </w:p>
    <w:p>
      <w:pPr>
        <w:pStyle w:val="Heading2"/>
        <w:spacing w:after="100" w:before="300"/>
      </w:pPr>
      <w:r>
        <w:t xml:space="preserve">4.11. Facturación Electrónica Nativa DTE (Ley N° 20.727 y Resoluciones SII)</w:t>
      </w:r>
    </w:p>
    <w:p>
      <w:pPr>
        <w:spacing w:after="60" w:before="60"/>
      </w:pPr>
      <w:r>
        <w:rPr>
          <w:rFonts w:ascii="Calibri" w:cs="Calibri" w:eastAsia="Calibri" w:hAnsi="Calibri"/>
          <w:color w:val="1E293B"/>
          <w:sz w:val="22"/>
          <w:szCs w:val="22"/>
        </w:rPr>
        <w:t xml:space="preserve">Módulo de emisión tributaria homologable ante el Servicio de Impuestos Internos.</w:t>
      </w:r>
    </w:p>
    <w:p>
      <w:pPr>
        <w:pStyle w:val="ListParagraph"/>
        <w:numPr>
          <w:ilvl w:val="0"/>
          <w:numId w:val="1"/>
        </w:numPr>
        <w:spacing w:after="40" w:before="40"/>
      </w:pPr>
      <w:r>
        <w:rPr>
          <w:rFonts w:ascii="Calibri" w:cs="Calibri" w:eastAsia="Calibri" w:hAnsi="Calibri"/>
          <w:b/>
          <w:bCs/>
          <w:color w:val="1E293B"/>
          <w:sz w:val="22"/>
          <w:szCs w:val="22"/>
        </w:rPr>
        <w:t xml:space="preserve">Tipos de DTE Soportados:</w:t>
      </w:r>
      <w:r>
        <w:rPr>
          <w:rFonts w:ascii="Calibri" w:cs="Calibri" w:eastAsia="Calibri" w:hAnsi="Calibri"/>
          <w:color w:val="1E293B"/>
          <w:sz w:val="22"/>
          <w:szCs w:val="22"/>
        </w:rPr>
        <w:t xml:space="preserve"> Emisión de Boletas Electrónicas afectas (Tipo 39), Boletas Exentas (Tipo 41), Facturas Electrónicas (Tipo 33), Guías de Despacho (Tipo 52) y Notas de Crédito (Tipo 61).</w:t>
      </w:r>
    </w:p>
    <w:p>
      <w:pPr>
        <w:pStyle w:val="ListParagraph"/>
        <w:numPr>
          <w:ilvl w:val="0"/>
          <w:numId w:val="1"/>
        </w:numPr>
        <w:spacing w:after="40" w:before="40"/>
      </w:pPr>
      <w:r>
        <w:rPr>
          <w:rFonts w:ascii="Calibri" w:cs="Calibri" w:eastAsia="Calibri" w:hAnsi="Calibri"/>
          <w:b/>
          <w:bCs/>
          <w:color w:val="1E293B"/>
          <w:sz w:val="22"/>
          <w:szCs w:val="22"/>
        </w:rPr>
        <w:t xml:space="preserve">Custodia de Folios CAF XML:</w:t>
      </w:r>
      <w:r>
        <w:rPr>
          <w:rFonts w:ascii="Calibri" w:cs="Calibri" w:eastAsia="Calibri" w:hAnsi="Calibri"/>
          <w:color w:val="1E293B"/>
          <w:sz w:val="22"/>
          <w:szCs w:val="22"/>
        </w:rPr>
        <w:t xml:space="preserve"> Importación, parseo y consumo correlativo de folios desde archivos CAF provistos por el portal del SII.</w:t>
      </w:r>
    </w:p>
    <w:p>
      <w:pPr>
        <w:pStyle w:val="ListParagraph"/>
        <w:numPr>
          <w:ilvl w:val="0"/>
          <w:numId w:val="1"/>
        </w:numPr>
        <w:spacing w:after="40" w:before="40"/>
      </w:pPr>
      <w:r>
        <w:rPr>
          <w:rFonts w:ascii="Calibri" w:cs="Calibri" w:eastAsia="Calibri" w:hAnsi="Calibri"/>
          <w:b/>
          <w:bCs/>
          <w:color w:val="1E293B"/>
          <w:sz w:val="22"/>
          <w:szCs w:val="22"/>
        </w:rPr>
        <w:t xml:space="preserve">Timbre Electrónico DTE (TED):</w:t>
      </w:r>
      <w:r>
        <w:rPr>
          <w:rFonts w:ascii="Calibri" w:cs="Calibri" w:eastAsia="Calibri" w:hAnsi="Calibri"/>
          <w:color w:val="1E293B"/>
          <w:sz w:val="22"/>
          <w:szCs w:val="22"/>
        </w:rPr>
        <w:t xml:space="preserve"> Canónico XML timbrado con la clave privada del CAF y firma digital RSA con certificado.</w:t>
      </w:r>
    </w:p>
    <w:p>
      <w:pPr>
        <w:pStyle w:val="ListParagraph"/>
        <w:numPr>
          <w:ilvl w:val="0"/>
          <w:numId w:val="1"/>
        </w:numPr>
        <w:spacing w:after="40" w:before="40"/>
      </w:pPr>
      <w:r>
        <w:rPr>
          <w:rFonts w:ascii="Calibri" w:cs="Calibri" w:eastAsia="Calibri" w:hAnsi="Calibri"/>
          <w:b/>
          <w:bCs/>
          <w:color w:val="1E293B"/>
          <w:sz w:val="22"/>
          <w:szCs w:val="22"/>
        </w:rPr>
        <w:t xml:space="preserve">RCOF Diario (Res. Ex. N° 53/74):</w:t>
      </w:r>
      <w:r>
        <w:rPr>
          <w:rFonts w:ascii="Calibri" w:cs="Calibri" w:eastAsia="Calibri" w:hAnsi="Calibri"/>
          <w:color w:val="1E293B"/>
          <w:sz w:val="22"/>
          <w:szCs w:val="22"/>
        </w:rPr>
        <w:t xml:space="preserve"> Generación del archivo diario obligatorio con totalizadores de ventas e IVA para transmisión al SII.</w:t>
      </w:r>
    </w:p>
    <w:p>
      <w:pPr>
        <w:pStyle w:val="ListParagraph"/>
        <w:numPr>
          <w:ilvl w:val="0"/>
          <w:numId w:val="1"/>
        </w:numPr>
        <w:spacing w:after="40" w:before="40"/>
      </w:pPr>
      <w:r>
        <w:rPr>
          <w:rFonts w:ascii="Calibri" w:cs="Calibri" w:eastAsia="Calibri" w:hAnsi="Calibri"/>
          <w:b/>
          <w:bCs/>
          <w:color w:val="1E293B"/>
          <w:sz w:val="22"/>
          <w:szCs w:val="22"/>
        </w:rPr>
        <w:t xml:space="preserve">Ambiente de Certificación:</w:t>
      </w:r>
      <w:r>
        <w:rPr>
          <w:rFonts w:ascii="Calibri" w:cs="Calibri" w:eastAsia="Calibri" w:hAnsi="Calibri"/>
          <w:color w:val="1E293B"/>
          <w:sz w:val="22"/>
          <w:szCs w:val="22"/>
        </w:rPr>
        <w:t xml:space="preserve"> Generación de sets de prueba técnicos para homologación según Res. Ex. N° 74 y 111.</w:t>
      </w:r>
    </w:p>
    <w:p>
      <w:pPr>
        <w:pStyle w:val="ListParagraph"/>
        <w:numPr>
          <w:ilvl w:val="0"/>
          <w:numId w:val="1"/>
        </w:numPr>
        <w:spacing w:after="40" w:before="40"/>
      </w:pPr>
      <w:r>
        <w:rPr>
          <w:rFonts w:ascii="Calibri" w:cs="Calibri" w:eastAsia="Calibri" w:hAnsi="Calibri"/>
          <w:b/>
          <w:bCs/>
          <w:color w:val="1E293B"/>
          <w:sz w:val="22"/>
          <w:szCs w:val="22"/>
        </w:rPr>
        <w:t xml:space="preserve">Modelo Voucher Res. 176:</w:t>
      </w:r>
      <w:r>
        <w:rPr>
          <w:rFonts w:ascii="Calibri" w:cs="Calibri" w:eastAsia="Calibri" w:hAnsi="Calibri"/>
          <w:color w:val="1E293B"/>
          <w:sz w:val="22"/>
          <w:szCs w:val="22"/>
        </w:rPr>
        <w:t xml:space="preserve"> Alterna entre emitir DTE Propio o Voucher de Tarjeta (Res. Ex. N° 176) para evitar duplicidad.</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/api/v1/dte/emit | Tablas: dte_documentos, dte_caf_folios.</w:t>
      </w:r>
    </w:p>
    <w:p>
      <w:pPr>
        <w:pStyle w:val="Heading2"/>
        <w:spacing w:after="100" w:before="300"/>
      </w:pPr>
      <w:r>
        <w:t xml:space="preserve">4.12. Pre-Liquidación Mensual F29 (Formulario 29 del SII)</w:t>
      </w:r>
    </w:p>
    <w:p>
      <w:pPr>
        <w:spacing w:after="60" w:before="60"/>
      </w:pPr>
      <w:r>
        <w:rPr>
          <w:rFonts w:ascii="Calibri" w:cs="Calibri" w:eastAsia="Calibri" w:hAnsi="Calibri"/>
          <w:color w:val="1E293B"/>
          <w:sz w:val="22"/>
          <w:szCs w:val="22"/>
        </w:rPr>
        <w:t xml:space="preserve">Herramienta contable preventiva que consolida las obligaciones tributarias del mes.</w:t>
      </w:r>
    </w:p>
    <w:p>
      <w:pPr>
        <w:pStyle w:val="ListParagraph"/>
        <w:numPr>
          <w:ilvl w:val="0"/>
          <w:numId w:val="1"/>
        </w:numPr>
        <w:spacing w:after="40" w:before="40"/>
      </w:pPr>
      <w:r>
        <w:rPr>
          <w:rFonts w:ascii="Calibri" w:cs="Calibri" w:eastAsia="Calibri" w:hAnsi="Calibri"/>
          <w:b/>
          <w:bCs/>
          <w:color w:val="1E293B"/>
          <w:sz w:val="22"/>
          <w:szCs w:val="22"/>
        </w:rPr>
        <w:t xml:space="preserve">Débito Fiscal (Ventas):</w:t>
      </w:r>
      <w:r>
        <w:rPr>
          <w:rFonts w:ascii="Calibri" w:cs="Calibri" w:eastAsia="Calibri" w:hAnsi="Calibri"/>
          <w:color w:val="1E293B"/>
          <w:sz w:val="22"/>
          <w:szCs w:val="22"/>
        </w:rPr>
        <w:t xml:space="preserve"> Suma de IVA de Boletas, Facturas y Vouchers emitidos, restando las Notas de Crédito.</w:t>
      </w:r>
    </w:p>
    <w:p>
      <w:pPr>
        <w:pStyle w:val="ListParagraph"/>
        <w:numPr>
          <w:ilvl w:val="0"/>
          <w:numId w:val="1"/>
        </w:numPr>
        <w:spacing w:after="40" w:before="40"/>
      </w:pPr>
      <w:r>
        <w:rPr>
          <w:rFonts w:ascii="Calibri" w:cs="Calibri" w:eastAsia="Calibri" w:hAnsi="Calibri"/>
          <w:b/>
          <w:bCs/>
          <w:color w:val="1E293B"/>
          <w:sz w:val="22"/>
          <w:szCs w:val="22"/>
        </w:rPr>
        <w:t xml:space="preserve">Crédito Fiscal (Compras):</w:t>
      </w:r>
      <w:r>
        <w:rPr>
          <w:rFonts w:ascii="Calibri" w:cs="Calibri" w:eastAsia="Calibri" w:hAnsi="Calibri"/>
          <w:color w:val="1E293B"/>
          <w:sz w:val="22"/>
          <w:szCs w:val="22"/>
        </w:rPr>
        <w:t xml:space="preserve"> Suma de IVA soportado en facturas de compras ingresadas por proveedores.</w:t>
      </w:r>
    </w:p>
    <w:p>
      <w:pPr>
        <w:pStyle w:val="ListParagraph"/>
        <w:numPr>
          <w:ilvl w:val="0"/>
          <w:numId w:val="1"/>
        </w:numPr>
        <w:spacing w:after="40" w:before="40"/>
      </w:pPr>
      <w:r>
        <w:rPr>
          <w:rFonts w:ascii="Calibri" w:cs="Calibri" w:eastAsia="Calibri" w:hAnsi="Calibri"/>
          <w:b/>
          <w:bCs/>
          <w:color w:val="1E293B"/>
          <w:sz w:val="22"/>
          <w:szCs w:val="22"/>
        </w:rPr>
        <w:t xml:space="preserve">IVA Determinado:</w:t>
      </w:r>
      <w:r>
        <w:rPr>
          <w:rFonts w:ascii="Calibri" w:cs="Calibri" w:eastAsia="Calibri" w:hAnsi="Calibri"/>
          <w:color w:val="1E293B"/>
          <w:sz w:val="22"/>
          <w:szCs w:val="22"/>
        </w:rPr>
        <w:t xml:space="preserve"> Saldo a pagar o Remanente de Crédito Fiscal a favor para el período siguiente.</w:t>
      </w:r>
    </w:p>
    <w:p>
      <w:pPr>
        <w:pStyle w:val="ListParagraph"/>
        <w:numPr>
          <w:ilvl w:val="0"/>
          <w:numId w:val="1"/>
        </w:numPr>
        <w:spacing w:after="40" w:before="40"/>
      </w:pPr>
      <w:r>
        <w:rPr>
          <w:rFonts w:ascii="Calibri" w:cs="Calibri" w:eastAsia="Calibri" w:hAnsi="Calibri"/>
          <w:b/>
          <w:bCs/>
          <w:color w:val="1E293B"/>
          <w:sz w:val="22"/>
          <w:szCs w:val="22"/>
        </w:rPr>
        <w:t xml:space="preserve">Provisión PPM:</w:t>
      </w:r>
      <w:r>
        <w:rPr>
          <w:rFonts w:ascii="Calibri" w:cs="Calibri" w:eastAsia="Calibri" w:hAnsi="Calibri"/>
          <w:color w:val="1E293B"/>
          <w:sz w:val="22"/>
          <w:szCs w:val="22"/>
        </w:rPr>
        <w:t xml:space="preserve"> Estimación del Pago Provisional Mensual sobre las ventas netas (1% configurable).</w:t>
      </w:r>
    </w:p>
    <w:p>
      <w:pPr>
        <w:pStyle w:val="ListParagraph"/>
        <w:numPr>
          <w:ilvl w:val="0"/>
          <w:numId w:val="1"/>
        </w:numPr>
        <w:spacing w:after="40" w:before="40"/>
      </w:pPr>
      <w:r>
        <w:rPr>
          <w:rFonts w:ascii="Calibri" w:cs="Calibri" w:eastAsia="Calibri" w:hAnsi="Calibri"/>
          <w:b/>
          <w:bCs/>
          <w:color w:val="1E293B"/>
          <w:sz w:val="22"/>
          <w:szCs w:val="22"/>
        </w:rPr>
        <w:t xml:space="preserve">Retenciones ILA:</w:t>
      </w:r>
      <w:r>
        <w:rPr>
          <w:rFonts w:ascii="Calibri" w:cs="Calibri" w:eastAsia="Calibri" w:hAnsi="Calibri"/>
          <w:color w:val="1E293B"/>
          <w:sz w:val="22"/>
          <w:szCs w:val="22"/>
        </w:rPr>
        <w:t xml:space="preserve"> Totalizadores de retenciones por venta de bebidas alcohólicas y energéticas.</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 /api/v1/dte/f29-report?periodo=YYYY-MM.</w:t>
      </w:r>
    </w:p>
    <w:p>
      <w:pPr>
        <w:pStyle w:val="Heading2"/>
        <w:spacing w:after="100" w:before="300"/>
      </w:pPr>
      <w:r>
        <w:t xml:space="preserve">4.13. Directorio de Proveedores y Programación de Visitas Semanales</w:t>
      </w:r>
    </w:p>
    <w:p>
      <w:pPr>
        <w:spacing w:after="60" w:before="60"/>
      </w:pPr>
      <w:r>
        <w:rPr>
          <w:rFonts w:ascii="Calibri" w:cs="Calibri" w:eastAsia="Calibri" w:hAnsi="Calibri"/>
          <w:color w:val="1E293B"/>
          <w:sz w:val="22"/>
          <w:szCs w:val="22"/>
        </w:rPr>
        <w:t xml:space="preserve">Gestión de relaciones con distribuidores comerciales (Coca-Cola, CCU, Colun, etc.).</w:t>
      </w:r>
    </w:p>
    <w:p>
      <w:pPr>
        <w:pStyle w:val="ListParagraph"/>
        <w:numPr>
          <w:ilvl w:val="0"/>
          <w:numId w:val="1"/>
        </w:numPr>
        <w:spacing w:after="40" w:before="40"/>
      </w:pPr>
      <w:r>
        <w:rPr>
          <w:rFonts w:ascii="Calibri" w:cs="Calibri" w:eastAsia="Calibri" w:hAnsi="Calibri"/>
          <w:b/>
          <w:bCs/>
          <w:color w:val="1E293B"/>
          <w:sz w:val="22"/>
          <w:szCs w:val="22"/>
        </w:rPr>
        <w:t xml:space="preserve">Ficha de Proveedor:</w:t>
      </w:r>
      <w:r>
        <w:rPr>
          <w:rFonts w:ascii="Calibri" w:cs="Calibri" w:eastAsia="Calibri" w:hAnsi="Calibri"/>
          <w:color w:val="1E293B"/>
          <w:sz w:val="22"/>
          <w:szCs w:val="22"/>
        </w:rPr>
        <w:t xml:space="preserve"> RUT de empresa, Razón Social, teléfono de contacto, email de pedidos y canal WhatsApp.</w:t>
      </w:r>
    </w:p>
    <w:p>
      <w:pPr>
        <w:pStyle w:val="ListParagraph"/>
        <w:numPr>
          <w:ilvl w:val="0"/>
          <w:numId w:val="1"/>
        </w:numPr>
        <w:spacing w:after="40" w:before="40"/>
      </w:pPr>
      <w:r>
        <w:rPr>
          <w:rFonts w:ascii="Calibri" w:cs="Calibri" w:eastAsia="Calibri" w:hAnsi="Calibri"/>
          <w:b/>
          <w:bCs/>
          <w:color w:val="1E293B"/>
          <w:sz w:val="22"/>
          <w:szCs w:val="22"/>
        </w:rPr>
        <w:t xml:space="preserve">Días de Visita Semanal:</w:t>
      </w:r>
      <w:r>
        <w:rPr>
          <w:rFonts w:ascii="Calibri" w:cs="Calibri" w:eastAsia="Calibri" w:hAnsi="Calibri"/>
          <w:color w:val="1E293B"/>
          <w:sz w:val="22"/>
          <w:szCs w:val="22"/>
        </w:rPr>
        <w:t xml:space="preserve"> Asignación de los días de la semana (Lunes a Domingo) en que el preventista visita la tienda.</w:t>
      </w:r>
    </w:p>
    <w:p>
      <w:pPr>
        <w:pStyle w:val="ListParagraph"/>
        <w:numPr>
          <w:ilvl w:val="0"/>
          <w:numId w:val="1"/>
        </w:numPr>
        <w:spacing w:after="40" w:before="40"/>
      </w:pPr>
      <w:r>
        <w:rPr>
          <w:rFonts w:ascii="Calibri" w:cs="Calibri" w:eastAsia="Calibri" w:hAnsi="Calibri"/>
          <w:b/>
          <w:bCs/>
          <w:color w:val="1E293B"/>
          <w:sz w:val="22"/>
          <w:szCs w:val="22"/>
        </w:rPr>
        <w:t xml:space="preserve">Integración ROP:</w:t>
      </w:r>
      <w:r>
        <w:rPr>
          <w:rFonts w:ascii="Calibri" w:cs="Calibri" w:eastAsia="Calibri" w:hAnsi="Calibri"/>
          <w:color w:val="1E293B"/>
          <w:sz w:val="22"/>
          <w:szCs w:val="22"/>
        </w:rPr>
        <w:t xml:space="preserve"> Alimenta el algoritmo de abastecimiento para no pedir productos si el camión viene mañana.</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GET/POST /api/v1/suppliers | Tablas: proveedores.</w:t>
      </w:r>
    </w:p>
    <w:p>
      <w:pPr>
        <w:pStyle w:val="Heading2"/>
        <w:spacing w:after="100" w:before="300"/>
      </w:pPr>
      <w:r>
        <w:t xml:space="preserve">4.14. Reabastecimiento Inteligente ROP y Despacho de Órdenes por Email</w:t>
      </w:r>
    </w:p>
    <w:p>
      <w:pPr>
        <w:spacing w:after="60" w:before="60"/>
      </w:pPr>
      <w:r>
        <w:rPr>
          <w:rFonts w:ascii="Calibri" w:cs="Calibri" w:eastAsia="Calibri" w:hAnsi="Calibri"/>
          <w:color w:val="1E293B"/>
          <w:sz w:val="22"/>
          <w:szCs w:val="22"/>
        </w:rPr>
        <w:t xml:space="preserve">Algoritmo de reposición de existencias que previene quiebres de stock en el punto de venta.</w:t>
      </w:r>
    </w:p>
    <w:p>
      <w:pPr>
        <w:pStyle w:val="ListParagraph"/>
        <w:numPr>
          <w:ilvl w:val="0"/>
          <w:numId w:val="1"/>
        </w:numPr>
        <w:spacing w:after="40" w:before="40"/>
      </w:pPr>
      <w:r>
        <w:rPr>
          <w:rFonts w:ascii="Calibri" w:cs="Calibri" w:eastAsia="Calibri" w:hAnsi="Calibri"/>
          <w:b/>
          <w:bCs/>
          <w:color w:val="1E293B"/>
          <w:sz w:val="22"/>
          <w:szCs w:val="22"/>
        </w:rPr>
        <w:t xml:space="preserve">Algoritmo de Punto de Reorden (ROP):</w:t>
      </w:r>
      <w:r>
        <w:rPr>
          <w:rFonts w:ascii="Calibri" w:cs="Calibri" w:eastAsia="Calibri" w:hAnsi="Calibri"/>
          <w:color w:val="1E293B"/>
          <w:sz w:val="22"/>
          <w:szCs w:val="22"/>
        </w:rPr>
        <w:t xml:space="preserve"> Identifica artículos donde Stock Actual ≤ Stock Mínimo y calcula la cantidad óptima a pedir considerando el stock de seguridad.</w:t>
      </w:r>
    </w:p>
    <w:p>
      <w:pPr>
        <w:pStyle w:val="ListParagraph"/>
        <w:numPr>
          <w:ilvl w:val="0"/>
          <w:numId w:val="1"/>
        </w:numPr>
        <w:spacing w:after="40" w:before="40"/>
      </w:pPr>
      <w:r>
        <w:rPr>
          <w:rFonts w:ascii="Calibri" w:cs="Calibri" w:eastAsia="Calibri" w:hAnsi="Calibri"/>
          <w:b/>
          <w:bCs/>
          <w:color w:val="1E293B"/>
          <w:sz w:val="22"/>
          <w:szCs w:val="22"/>
        </w:rPr>
        <w:t xml:space="preserve">Evaluación Multicriterio:</w:t>
      </w:r>
      <w:r>
        <w:rPr>
          <w:rFonts w:ascii="Calibri" w:cs="Calibri" w:eastAsia="Calibri" w:hAnsi="Calibri"/>
          <w:color w:val="1E293B"/>
          <w:sz w:val="22"/>
          <w:szCs w:val="22"/>
        </w:rPr>
        <w:t xml:space="preserve"> Si múltiples proveedores comercializan el mismo artículo, el sistema prioriza al distribuidor de menor costo pero adelanta la orden a quien tenga su visita semanal más próxima.</w:t>
      </w:r>
    </w:p>
    <w:p>
      <w:pPr>
        <w:pStyle w:val="ListParagraph"/>
        <w:numPr>
          <w:ilvl w:val="0"/>
          <w:numId w:val="1"/>
        </w:numPr>
        <w:spacing w:after="40" w:before="40"/>
      </w:pPr>
      <w:r>
        <w:rPr>
          <w:rFonts w:ascii="Calibri" w:cs="Calibri" w:eastAsia="Calibri" w:hAnsi="Calibri"/>
          <w:b/>
          <w:bCs/>
          <w:color w:val="1E293B"/>
          <w:sz w:val="22"/>
          <w:szCs w:val="22"/>
        </w:rPr>
        <w:t xml:space="preserve">Disparo Automático en Checkout:</w:t>
      </w:r>
      <w:r>
        <w:rPr>
          <w:rFonts w:ascii="Calibri" w:cs="Calibri" w:eastAsia="Calibri" w:hAnsi="Calibri"/>
          <w:color w:val="1E293B"/>
          <w:sz w:val="22"/>
          <w:szCs w:val="22"/>
        </w:rPr>
        <w:t xml:space="preserve"> Si el comercio tiene activada la casilla en Configuración, cada vez que una venta en el POS deja un producto en nivel crítico, se despacha la orden de reposición al correo configurado en segundo plano sin demorar la fila.</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/api/v1/replenishment/orders/generate | Tablas: replenishment_orders.</w:t>
      </w:r>
    </w:p>
    <w:p>
      <w:pPr>
        <w:pStyle w:val="Heading2"/>
        <w:spacing w:after="100" w:before="300"/>
      </w:pPr>
      <w:r>
        <w:t xml:space="preserve">4.15. Ingesta Inteligente de Facturas de Compra por OCR</w:t>
      </w:r>
    </w:p>
    <w:p>
      <w:pPr>
        <w:spacing w:after="60" w:before="60"/>
      </w:pPr>
      <w:r>
        <w:rPr>
          <w:rFonts w:ascii="Calibri" w:cs="Calibri" w:eastAsia="Calibri" w:hAnsi="Calibri"/>
          <w:color w:val="1E293B"/>
          <w:sz w:val="22"/>
          <w:szCs w:val="22"/>
        </w:rPr>
        <w:t xml:space="preserve">Digitalización y carga automática de compras a proveedores para reponer inventario en segundos.</w:t>
      </w:r>
    </w:p>
    <w:p>
      <w:pPr>
        <w:pStyle w:val="ListParagraph"/>
        <w:numPr>
          <w:ilvl w:val="0"/>
          <w:numId w:val="1"/>
        </w:numPr>
        <w:spacing w:after="40" w:before="40"/>
      </w:pPr>
      <w:r>
        <w:rPr>
          <w:rFonts w:ascii="Calibri" w:cs="Calibri" w:eastAsia="Calibri" w:hAnsi="Calibri"/>
          <w:b/>
          <w:bCs/>
          <w:color w:val="1E293B"/>
          <w:sz w:val="22"/>
          <w:szCs w:val="22"/>
        </w:rPr>
        <w:t xml:space="preserve">Carga de Archivo:</w:t>
      </w:r>
      <w:r>
        <w:rPr>
          <w:rFonts w:ascii="Calibri" w:cs="Calibri" w:eastAsia="Calibri" w:hAnsi="Calibri"/>
          <w:color w:val="1E293B"/>
          <w:sz w:val="22"/>
          <w:szCs w:val="22"/>
        </w:rPr>
        <w:t xml:space="preserve"> El usuario arrastra o selecciona un archivo PDF o imagen escaneada de una factura de compra.</w:t>
      </w:r>
    </w:p>
    <w:p>
      <w:pPr>
        <w:pStyle w:val="ListParagraph"/>
        <w:numPr>
          <w:ilvl w:val="0"/>
          <w:numId w:val="1"/>
        </w:numPr>
        <w:spacing w:after="40" w:before="40"/>
      </w:pPr>
      <w:r>
        <w:rPr>
          <w:rFonts w:ascii="Calibri" w:cs="Calibri" w:eastAsia="Calibri" w:hAnsi="Calibri"/>
          <w:b/>
          <w:bCs/>
          <w:color w:val="1E293B"/>
          <w:sz w:val="22"/>
          <w:szCs w:val="22"/>
        </w:rPr>
        <w:t xml:space="preserve">Extracción Asistida por IA:</w:t>
      </w:r>
      <w:r>
        <w:rPr>
          <w:rFonts w:ascii="Calibri" w:cs="Calibri" w:eastAsia="Calibri" w:hAnsi="Calibri"/>
          <w:color w:val="1E293B"/>
          <w:sz w:val="22"/>
          <w:szCs w:val="22"/>
        </w:rPr>
        <w:t xml:space="preserve"> Gemini OCR Provider extrae RUT del emisor, Razón Social, Folio, Fecha, Ítems, Cantidades, Precios Netos y Totales.</w:t>
      </w:r>
    </w:p>
    <w:p>
      <w:pPr>
        <w:pStyle w:val="ListParagraph"/>
        <w:numPr>
          <w:ilvl w:val="0"/>
          <w:numId w:val="1"/>
        </w:numPr>
        <w:spacing w:after="40" w:before="40"/>
      </w:pPr>
      <w:r>
        <w:rPr>
          <w:rFonts w:ascii="Calibri" w:cs="Calibri" w:eastAsia="Calibri" w:hAnsi="Calibri"/>
          <w:b/>
          <w:bCs/>
          <w:color w:val="1E293B"/>
          <w:sz w:val="22"/>
          <w:szCs w:val="22"/>
        </w:rPr>
        <w:t xml:space="preserve">Actualización Automática de Stock:</w:t>
      </w:r>
      <w:r>
        <w:rPr>
          <w:rFonts w:ascii="Calibri" w:cs="Calibri" w:eastAsia="Calibri" w:hAnsi="Calibri"/>
          <w:color w:val="1E293B"/>
          <w:sz w:val="22"/>
          <w:szCs w:val="22"/>
        </w:rPr>
        <w:t xml:space="preserve"> Si el proveedor no existía, se crea en la base de datos. Si los productos ya existen, suma el stock comprado y actualiza el costo de adquisición.</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/api/v1/invoices/upload | Tablas: factura_ingresos, proveedores, productos, historial_stock.</w:t>
      </w:r>
    </w:p>
    <w:p>
      <w:pPr>
        <w:pStyle w:val="Heading2"/>
        <w:spacing w:after="100" w:before="300"/>
      </w:pPr>
      <w:r>
        <w:t xml:space="preserve">4.16. Análisis de Tendencias de Mercado y Precios de Referencia</w:t>
      </w:r>
    </w:p>
    <w:p>
      <w:pPr>
        <w:spacing w:after="60" w:before="60"/>
      </w:pPr>
      <w:r>
        <w:rPr>
          <w:rFonts w:ascii="Calibri" w:cs="Calibri" w:eastAsia="Calibri" w:hAnsi="Calibri"/>
          <w:color w:val="1E293B"/>
          <w:sz w:val="22"/>
          <w:szCs w:val="22"/>
        </w:rPr>
        <w:t xml:space="preserve">Herramienta de inteligencia competitiva para fijación de precios en el comercio de barrio.</w:t>
      </w:r>
    </w:p>
    <w:p>
      <w:pPr>
        <w:pStyle w:val="ListParagraph"/>
        <w:numPr>
          <w:ilvl w:val="0"/>
          <w:numId w:val="1"/>
        </w:numPr>
        <w:spacing w:after="40" w:before="40"/>
      </w:pPr>
      <w:r>
        <w:rPr>
          <w:rFonts w:ascii="Calibri" w:cs="Calibri" w:eastAsia="Calibri" w:hAnsi="Calibri"/>
          <w:b/>
          <w:bCs/>
          <w:color w:val="1E293B"/>
          <w:sz w:val="22"/>
          <w:szCs w:val="22"/>
        </w:rPr>
        <w:t xml:space="preserve">Benchmark de Precios:</w:t>
      </w:r>
      <w:r>
        <w:rPr>
          <w:rFonts w:ascii="Calibri" w:cs="Calibri" w:eastAsia="Calibri" w:hAnsi="Calibri"/>
          <w:color w:val="1E293B"/>
          <w:sz w:val="22"/>
          <w:szCs w:val="22"/>
        </w:rPr>
        <w:t xml:space="preserve"> Consulta precios de referencia de artículos similares en marketplaces líderes (MercadoLibre y AliExpress).</w:t>
      </w:r>
    </w:p>
    <w:p>
      <w:pPr>
        <w:pStyle w:val="ListParagraph"/>
        <w:numPr>
          <w:ilvl w:val="0"/>
          <w:numId w:val="1"/>
        </w:numPr>
        <w:spacing w:after="40" w:before="40"/>
      </w:pPr>
      <w:r>
        <w:rPr>
          <w:rFonts w:ascii="Calibri" w:cs="Calibri" w:eastAsia="Calibri" w:hAnsi="Calibri"/>
          <w:b/>
          <w:bCs/>
          <w:color w:val="1E293B"/>
          <w:sz w:val="22"/>
          <w:szCs w:val="22"/>
        </w:rPr>
        <w:t xml:space="preserve">Análisis de Margen:</w:t>
      </w:r>
      <w:r>
        <w:rPr>
          <w:rFonts w:ascii="Calibri" w:cs="Calibri" w:eastAsia="Calibri" w:hAnsi="Calibri"/>
          <w:color w:val="1E293B"/>
          <w:sz w:val="22"/>
          <w:szCs w:val="22"/>
        </w:rPr>
        <w:t xml:space="preserve"> Compara el precio de venta sugerido contra el costo de adquisición del comercio para advertir si el margen comercial es competitivo.</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 /api/v1/market/trends?query=... | Tablas: market_trends.</w:t>
      </w:r>
    </w:p>
    <w:p>
      <w:pPr>
        <w:pStyle w:val="Heading2"/>
        <w:spacing w:after="100" w:before="300"/>
      </w:pPr>
      <w:r>
        <w:t xml:space="preserve">4.17. Motor de Sincronización Nube Offline-First Bidireccional</w:t>
      </w:r>
    </w:p>
    <w:p>
      <w:pPr>
        <w:spacing w:after="60" w:before="60"/>
      </w:pPr>
      <w:r>
        <w:rPr>
          <w:rFonts w:ascii="Calibri" w:cs="Calibri" w:eastAsia="Calibri" w:hAnsi="Calibri"/>
          <w:color w:val="1E293B"/>
          <w:sz w:val="22"/>
          <w:szCs w:val="22"/>
        </w:rPr>
        <w:t xml:space="preserve">Núcleo de enlace entre el nodo POS local de la tienda y la nube SaaS PostgreSQL.</w:t>
      </w:r>
    </w:p>
    <w:p>
      <w:pPr>
        <w:pStyle w:val="ListParagraph"/>
        <w:numPr>
          <w:ilvl w:val="0"/>
          <w:numId w:val="1"/>
        </w:numPr>
        <w:spacing w:after="40" w:before="40"/>
      </w:pPr>
      <w:r>
        <w:rPr>
          <w:rFonts w:ascii="Calibri" w:cs="Calibri" w:eastAsia="Calibri" w:hAnsi="Calibri"/>
          <w:b/>
          <w:bCs/>
          <w:color w:val="1E293B"/>
          <w:sz w:val="22"/>
          <w:szCs w:val="22"/>
        </w:rPr>
        <w:t xml:space="preserve">Sincronización Push:</w:t>
      </w:r>
      <w:r>
        <w:rPr>
          <w:rFonts w:ascii="Calibri" w:cs="Calibri" w:eastAsia="Calibri" w:hAnsi="Calibri"/>
          <w:color w:val="1E293B"/>
          <w:sz w:val="22"/>
          <w:szCs w:val="22"/>
        </w:rPr>
        <w:t xml:space="preserve"> El POS consulta las ventas locales marcadas con is_dirty = 1 y las transmite en bloque mediante POST /api/v1/pos/sync a la nube.</w:t>
      </w:r>
    </w:p>
    <w:p>
      <w:pPr>
        <w:pStyle w:val="ListParagraph"/>
        <w:numPr>
          <w:ilvl w:val="0"/>
          <w:numId w:val="1"/>
        </w:numPr>
        <w:spacing w:after="40" w:before="40"/>
      </w:pPr>
      <w:r>
        <w:rPr>
          <w:rFonts w:ascii="Calibri" w:cs="Calibri" w:eastAsia="Calibri" w:hAnsi="Calibri"/>
          <w:b/>
          <w:bCs/>
          <w:color w:val="1E293B"/>
          <w:sz w:val="22"/>
          <w:szCs w:val="22"/>
        </w:rPr>
        <w:t xml:space="preserve">Sincronización Pull:</w:t>
      </w:r>
      <w:r>
        <w:rPr>
          <w:rFonts w:ascii="Calibri" w:cs="Calibri" w:eastAsia="Calibri" w:hAnsi="Calibri"/>
          <w:color w:val="1E293B"/>
          <w:sz w:val="22"/>
          <w:szCs w:val="22"/>
        </w:rPr>
        <w:t xml:space="preserve"> El POS descarga modificaciones de catálogo (precios y artículos nuevos) desde la nube aplicando la política de Primacía de la Nube.</w:t>
      </w:r>
    </w:p>
    <w:p>
      <w:pPr>
        <w:pStyle w:val="ListParagraph"/>
        <w:numPr>
          <w:ilvl w:val="0"/>
          <w:numId w:val="1"/>
        </w:numPr>
        <w:spacing w:after="40" w:before="40"/>
      </w:pPr>
      <w:r>
        <w:rPr>
          <w:rFonts w:ascii="Calibri" w:cs="Calibri" w:eastAsia="Calibri" w:hAnsi="Calibri"/>
          <w:b/>
          <w:bCs/>
          <w:color w:val="1E293B"/>
          <w:sz w:val="22"/>
          <w:szCs w:val="22"/>
        </w:rPr>
        <w:t xml:space="preserve">Resolución de Conflictos:</w:t>
      </w:r>
      <w:r>
        <w:rPr>
          <w:rFonts w:ascii="Calibri" w:cs="Calibri" w:eastAsia="Calibri" w:hAnsi="Calibri"/>
          <w:color w:val="1E293B"/>
          <w:sz w:val="22"/>
          <w:szCs w:val="22"/>
        </w:rPr>
        <w:t xml:space="preserve"> En inventario, la nube aplica un Delta Neto (variación) para no borrar ventas concurrentes de otras cajas o canales de venta.</w:t>
      </w:r>
    </w:p>
    <w:p>
      <w:pPr>
        <w:pStyle w:val="ListParagraph"/>
        <w:numPr>
          <w:ilvl w:val="0"/>
          <w:numId w:val="1"/>
        </w:numPr>
        <w:spacing w:after="40" w:before="40"/>
      </w:pPr>
      <w:r>
        <w:rPr>
          <w:rFonts w:ascii="Calibri" w:cs="Calibri" w:eastAsia="Calibri" w:hAnsi="Calibri"/>
          <w:b/>
          <w:bCs/>
          <w:color w:val="1E293B"/>
          <w:sz w:val="22"/>
          <w:szCs w:val="22"/>
        </w:rPr>
        <w:t xml:space="preserve">Tolerancia y Fallback:</w:t>
      </w:r>
      <w:r>
        <w:rPr>
          <w:rFonts w:ascii="Calibri" w:cs="Calibri" w:eastAsia="Calibri" w:hAnsi="Calibri"/>
          <w:color w:val="1E293B"/>
          <w:sz w:val="22"/>
          <w:szCs w:val="22"/>
        </w:rPr>
        <w:t xml:space="preserve"> El receptor en la nube verifica que el método de pago exista y provee fallback a Efectivo si es desconocido, garantizando que un fallo de clave foránea nunca aborte la sincronización de las ventas de la tienda.</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POST /api/v1/pos/sync | Tablas: transacciones_venta, detalle_venta, productos, movimientos_inventario.</w:t>
      </w:r>
    </w:p>
    <w:p>
      <w:pPr>
        <w:pStyle w:val="Heading2"/>
        <w:spacing w:after="100" w:before="300"/>
      </w:pPr>
      <w:r>
        <w:t xml:space="preserve">4.18. Respaldo Legal Tributario de 6 Años (Código Tributario Arts. 17 y 200)</w:t>
      </w:r>
    </w:p>
    <w:p>
      <w:pPr>
        <w:spacing w:after="60" w:before="60"/>
      </w:pPr>
      <w:r>
        <w:rPr>
          <w:rFonts w:ascii="Calibri" w:cs="Calibri" w:eastAsia="Calibri" w:hAnsi="Calibri"/>
          <w:color w:val="1E293B"/>
          <w:sz w:val="22"/>
          <w:szCs w:val="22"/>
        </w:rPr>
        <w:t xml:space="preserve">Módulo de cumplimiento ante fiscalizaciones formales del Servicio de Impuestos Internos.</w:t>
      </w:r>
    </w:p>
    <w:p>
      <w:pPr>
        <w:pStyle w:val="ListParagraph"/>
        <w:numPr>
          <w:ilvl w:val="0"/>
          <w:numId w:val="1"/>
        </w:numPr>
        <w:spacing w:after="40" w:before="40"/>
      </w:pPr>
      <w:r>
        <w:rPr>
          <w:rFonts w:ascii="Calibri" w:cs="Calibri" w:eastAsia="Calibri" w:hAnsi="Calibri"/>
          <w:b/>
          <w:bCs/>
          <w:color w:val="1E293B"/>
          <w:sz w:val="22"/>
          <w:szCs w:val="22"/>
        </w:rPr>
        <w:t xml:space="preserve">Volcado Inmutable:</w:t>
      </w:r>
      <w:r>
        <w:rPr>
          <w:rFonts w:ascii="Calibri" w:cs="Calibri" w:eastAsia="Calibri" w:hAnsi="Calibri"/>
          <w:color w:val="1E293B"/>
          <w:sz w:val="22"/>
          <w:szCs w:val="22"/>
        </w:rPr>
        <w:t xml:space="preserve"> Genera un archivo ZIP / JSON consolidado con el 100% de los DTEs emitidos, compras, sesiones de caja y bitácoras de auditoría de los últimos 6 ejercicios comerciales.</w:t>
      </w:r>
    </w:p>
    <w:p>
      <w:pPr>
        <w:pStyle w:val="ListParagraph"/>
        <w:numPr>
          <w:ilvl w:val="0"/>
          <w:numId w:val="1"/>
        </w:numPr>
        <w:spacing w:after="40" w:before="40"/>
      </w:pPr>
      <w:r>
        <w:rPr>
          <w:rFonts w:ascii="Calibri" w:cs="Calibri" w:eastAsia="Calibri" w:hAnsi="Calibri"/>
          <w:b/>
          <w:bCs/>
          <w:color w:val="1E293B"/>
          <w:sz w:val="22"/>
          <w:szCs w:val="22"/>
        </w:rPr>
        <w:t xml:space="preserve">Sello Criptográfico SHA-256:</w:t>
      </w:r>
      <w:r>
        <w:rPr>
          <w:rFonts w:ascii="Calibri" w:cs="Calibri" w:eastAsia="Calibri" w:hAnsi="Calibri"/>
          <w:color w:val="1E293B"/>
          <w:sz w:val="22"/>
          <w:szCs w:val="22"/>
        </w:rPr>
        <w:t xml:space="preserve"> Se calcula la firma criptográfica SHA-256 de todo el paquete y se estampa en la cabecera HTTP X-Backup-Integrity-SHA256 para certificar ante inspectores que los datos contables no sufrieron alteraciones.</w:t>
      </w:r>
    </w:p>
    <w:p>
      <w:pPr>
        <w:pStyle w:val="ListParagraph"/>
        <w:numPr>
          <w:ilvl w:val="0"/>
          <w:numId w:val="1"/>
        </w:numPr>
        <w:spacing w:after="40" w:before="40"/>
      </w:pPr>
      <w:r>
        <w:rPr>
          <w:rFonts w:ascii="Calibri" w:cs="Calibri" w:eastAsia="Calibri" w:hAnsi="Calibri"/>
          <w:b/>
          <w:bCs/>
          <w:color w:val="1E293B"/>
          <w:sz w:val="22"/>
          <w:szCs w:val="22"/>
        </w:rPr>
        <w:t xml:space="preserve">Endpoints y Datos:</w:t>
      </w:r>
      <w:r>
        <w:rPr>
          <w:rFonts w:ascii="Calibri" w:cs="Calibri" w:eastAsia="Calibri" w:hAnsi="Calibri"/>
          <w:color w:val="1E293B"/>
          <w:sz w:val="22"/>
          <w:szCs w:val="22"/>
        </w:rPr>
        <w:t xml:space="preserve"> GET /api/v1/config/backup-legal | Descarga directa desde la pestaña Configuración.</w:t>
      </w:r>
    </w:p>
    <w:p>
      <w:pPr>
        <w:pStyle w:val="Heading1"/>
        <w:spacing w:after="150" w:before="400"/>
      </w:pPr>
      <w:r>
        <w:t xml:space="preserve">5. Matriz Exhaustiva de Cumplimiento Legal y Normativo en Chile</w:t>
      </w:r>
    </w:p>
    <w:p>
      <w:pPr>
        <w:spacing w:after="60" w:before="60"/>
      </w:pPr>
      <w:r>
        <w:rPr>
          <w:rFonts w:ascii="Calibri" w:cs="Calibri" w:eastAsia="Calibri" w:hAnsi="Calibri"/>
          <w:color w:val="1E293B"/>
          <w:sz w:val="22"/>
          <w:szCs w:val="22"/>
        </w:rPr>
        <w:t xml:space="preserve">A continuación se detalla la matriz de correspondencia legal obligatoria: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Normativa / Ley</w:t>
            </w:r>
          </w:p>
        </w:tc>
        <w:tc>
          <w:tcPr>
            <w:tcW w:type="pct" w:w="15%"/>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Organismo</w:t>
            </w:r>
          </w:p>
        </w:tc>
        <w:tc>
          <w:tcPr>
            <w:tcW w:type="pct" w:w="30%"/>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Exigencia Legal en Chile</w:t>
            </w:r>
          </w:p>
        </w:tc>
        <w:tc>
          <w:tcPr>
            <w:tcW w:type="pct" w:w="35%"/>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Cumplimiento en GesTock POS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20.727</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Uso obligatorio de Factura y Boleta Electrónica en todo el comercio.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Emisión nativa de DTEs (33, 39, 41, 52, 61), Timbre TED y gestión de folios CAF.</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Res. Ex. N° 74 y 111</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Homologación y certificación técnica de software de facturación.</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Generación de sets de prueba para boletas afectas, exentas y notas de crédito.</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Res. Ex. N° 176</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Validez tributaria del comprobante de tarjeta (voucher) en reemplazo de boleta.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Switch para alternar entre emisión de DTE Propio o Voucher Res. 176 sin duplicidad.</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Res. Ex. N° 53</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Envío diario obligatorio del RCOF (Resumen de Ventas Diarias).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Módulo generador de RCOF con totalizadores de IVA, ILA y exentos listos para envío.</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20.956</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Min. Hacienda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Regla de redondeo a la decena en pagos en efectivo ($1..$4 baja, $5..$9 sube).</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Algoritmo matemático oficial aplicado exclusivamente a pagos en efectivo en caja.</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D.L. 825 Art. 42 (a)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Impuesto Adicional a las Bebidas Analcohólicas y Energéticas (18%).</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Soporte del Código ILA 26 (Tasa 18%) para bebidas energéticas sin marcar alcohol.</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D.L. 825 Art. 42 (c)</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Impuesto ILA a Cervezas/Vinos (20.5%) y Licores/Destilados (31.5%).</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Soporte de Código ILA 27 (20.5%) e ILA 28 (31.5%) en catálogo, DTEs y F29.</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19.925 / 21.363</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Min. Interior</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de Alcoholes: Exigir cédula de identidad a mayores de 18 años.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Detección automática, badge 🔞 +18, bloqueo de cobro y leyenda legal en ticket.</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D.S. N° 977/96</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MINSAL</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Reglamento Sanitario de Alimentos: Control de inocuidad y caducidad.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Lotes sanitarios, semáforo tricolor preventivo (≤7d, 15d, 30d) y filtro FEFO.</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19.496</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SERNAC</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Exhibición fidedigna de precios con IVA y códigos de barra legibles.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Generador SVG Code 39 e impresión de etiquetas de góndola de 3 columnas.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21.398</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SERNAC</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Pro-Consumidor: Garantía legal de 6 meses y devoluciones.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Devoluciones con emisión de DTE 61 (Nota de Crédito) y reposición a inventario.</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Ley N° 21.368</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MMA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Plásticos de un solo uso y cobro de bolsas reutilizables.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Botón rápido en 1 clic + Bolsa Reutilizable ($1.000) con SKU legal afecto a IVA.</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Cód. Tributario 17/200</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SII</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Conservación inmutable de registros contables y ventas por 6 años.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Exportación consolidada con sello criptográfico inalterable SHA-256.</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PCI-DSS v4.0</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Internacional</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Seguridad en el manejo de tarjetas de crédito y débito.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Tokenización en pasarelas (RutPay, Transbank, MP, SumUp); cero almacenamiento PAN/CVV.</w:t>
            </w:r>
          </w:p>
        </w:tc>
      </w:tr>
    </w:tbl>
    <w:p>
      <w:pPr>
        <w:pStyle w:val="Heading1"/>
        <w:spacing w:after="150" w:before="400"/>
      </w:pPr>
      <w:r>
        <w:t xml:space="preserve">6. Diagramas de Arquitectura y Flujos Operativos</w:t>
      </w:r>
    </w:p>
    <w:p>
      <w:pPr>
        <w:pStyle w:val="Heading2"/>
        <w:spacing w:after="100" w:before="300"/>
      </w:pPr>
      <w:r>
        <w:t xml:space="preserve">6.1. Diagrama de Arquitectura Híbrida y Flujo de Componentes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w:t>
            </w:r>
          </w:p>
          <w:p>
            <w:pPr>
              <w:spacing w:after="15" w:before="15"/>
            </w:pPr>
            <w:r>
              <w:rPr>
                <w:rFonts w:ascii="Consolas" w:cs="Consolas" w:eastAsia="Consolas" w:hAnsi="Consolas"/>
                <w:color w:val="0F172A"/>
                <w:sz w:val="16"/>
                <w:szCs w:val="16"/>
              </w:rPr>
              <w:t xml:space="preserve">|                      CLIENTE LOCAL (Terminal POS en Tienda)                 |</w:t>
            </w:r>
          </w:p>
          <w:p>
            <w:pPr>
              <w:spacing w:after="15" w:before="15"/>
            </w:pPr>
            <w:r>
              <w:rPr>
                <w:rFonts w:ascii="Consolas" w:cs="Consolas" w:eastAsia="Consolas" w:hAnsi="Consolas"/>
                <w:color w:val="0F172A"/>
                <w:sz w:val="16"/>
                <w:szCs w:val="16"/>
              </w:rPr>
              <w:t xml:space="preserve">|  [SPA HTML5/JS] --&gt; Terminal POS | Dashboard | Inventario | Fiscal SII      |</w:t>
            </w:r>
          </w:p>
          <w:p>
            <w:pPr>
              <w:spacing w:after="15" w:before="15"/>
            </w:pPr>
            <w:r>
              <w:rPr>
                <w:rFonts w:ascii="Consolas" w:cs="Consolas" w:eastAsia="Consolas" w:hAnsi="Consolas"/>
                <w:color w:val="0F172A"/>
                <w:sz w:val="16"/>
                <w:szCs w:val="16"/>
              </w:rPr>
              <w:t xml:space="preserve">+---------------------------------------+-------------------------------------+</w:t>
            </w:r>
          </w:p>
          <w:p>
            <w:pPr>
              <w:spacing w:after="15" w:before="15"/>
            </w:pPr>
            <w:r>
              <w:rPr>
                <w:rFonts w:ascii="Consolas" w:cs="Consolas" w:eastAsia="Consolas" w:hAnsi="Consolas"/>
                <w:color w:val="0F172A"/>
                <w:sz w:val="16"/>
                <w:szCs w:val="16"/>
              </w:rPr>
              <w:t xml:space="preserve">                                        | HTTP Localhost:3000</w:t>
            </w:r>
          </w:p>
          <w:p>
            <w:pPr>
              <w:spacing w:after="15" w:before="15"/>
            </w:pPr>
            <w:r>
              <w:rPr>
                <w:rFonts w:ascii="Consolas" w:cs="Consolas" w:eastAsia="Consolas" w:hAnsi="Consolas"/>
                <w:color w:val="0F172A"/>
                <w:sz w:val="16"/>
                <w:szCs w:val="16"/>
              </w:rPr>
              <w:t xml:space="preserve">+---------------------------------------v-------------------------------------+</w:t>
            </w:r>
          </w:p>
          <w:p>
            <w:pPr>
              <w:spacing w:after="15" w:before="15"/>
            </w:pPr>
            <w:r>
              <w:rPr>
                <w:rFonts w:ascii="Consolas" w:cs="Consolas" w:eastAsia="Consolas" w:hAnsi="Consolas"/>
                <w:color w:val="0F172A"/>
                <w:sz w:val="16"/>
                <w:szCs w:val="16"/>
              </w:rPr>
              <w:t xml:space="preserve">|                      SERVIDOR LOCAL (Node.js / Express)                     |</w:t>
            </w:r>
          </w:p>
          <w:p>
            <w:pPr>
              <w:spacing w:after="15" w:before="15"/>
            </w:pPr>
            <w:r>
              <w:rPr>
                <w:rFonts w:ascii="Consolas" w:cs="Consolas" w:eastAsia="Consolas" w:hAnsi="Consolas"/>
                <w:color w:val="0F172A"/>
                <w:sz w:val="16"/>
                <w:szCs w:val="16"/>
              </w:rPr>
              <w:t xml:space="preserve">|  - Routers: POS, Dashboard, Fiscal DTE, Sincronizador, Pagos                |</w:t>
            </w:r>
          </w:p>
          <w:p>
            <w:pPr>
              <w:spacing w:after="15" w:before="15"/>
            </w:pPr>
            <w:r>
              <w:rPr>
                <w:rFonts w:ascii="Consolas" w:cs="Consolas" w:eastAsia="Consolas" w:hAnsi="Consolas"/>
                <w:color w:val="0F172A"/>
                <w:sz w:val="16"/>
                <w:szCs w:val="16"/>
              </w:rPr>
              <w:t xml:space="preserve">|  - Payment Dispatcher (RutPay, Transbank, Mercado Pago, SumUp)              |</w:t>
            </w:r>
          </w:p>
          <w:p>
            <w:pPr>
              <w:spacing w:after="15" w:before="15"/>
            </w:pPr>
            <w:r>
              <w:rPr>
                <w:rFonts w:ascii="Consolas" w:cs="Consolas" w:eastAsia="Consolas" w:hAnsi="Consolas"/>
                <w:color w:val="0F172A"/>
                <w:sz w:val="16"/>
                <w:szCs w:val="16"/>
              </w:rPr>
              <w:t xml:space="preserve">|  - DTE XML Engine (Firma Digital RSA + TED + QR SII)                        |</w:t>
            </w:r>
          </w:p>
          <w:p>
            <w:pPr>
              <w:spacing w:after="15" w:before="15"/>
            </w:pPr>
            <w:r>
              <w:rPr>
                <w:rFonts w:ascii="Consolas" w:cs="Consolas" w:eastAsia="Consolas" w:hAnsi="Consolas"/>
                <w:color w:val="0F172A"/>
                <w:sz w:val="16"/>
                <w:szCs w:val="16"/>
              </w:rPr>
              <w:t xml:space="preserve">+-------------------+-----------------------------------+---------------------+</w:t>
            </w:r>
          </w:p>
          <w:p>
            <w:pPr>
              <w:spacing w:after="15" w:before="15"/>
            </w:pPr>
            <w:r>
              <w:rPr>
                <w:rFonts w:ascii="Consolas" w:cs="Consolas" w:eastAsia="Consolas" w:hAnsi="Consolas"/>
                <w:color w:val="0F172A"/>
                <w:sz w:val="16"/>
                <w:szCs w:val="16"/>
              </w:rPr>
              <w:t xml:space="preserve">                    |                                   |</w:t>
            </w:r>
          </w:p>
          <w:p>
            <w:pPr>
              <w:spacing w:after="15" w:before="15"/>
            </w:pPr>
            <w:r>
              <w:rPr>
                <w:rFonts w:ascii="Consolas" w:cs="Consolas" w:eastAsia="Consolas" w:hAnsi="Consolas"/>
                <w:color w:val="0F172A"/>
                <w:sz w:val="16"/>
                <w:szCs w:val="16"/>
              </w:rPr>
              <w:t xml:space="preserve">+-------------------v-----------------+   +-------------v---------------------+</w:t>
            </w:r>
          </w:p>
          <w:p>
            <w:pPr>
              <w:spacing w:after="15" w:before="15"/>
            </w:pPr>
            <w:r>
              <w:rPr>
                <w:rFonts w:ascii="Consolas" w:cs="Consolas" w:eastAsia="Consolas" w:hAnsi="Consolas"/>
                <w:color w:val="0F172A"/>
                <w:sz w:val="16"/>
                <w:szCs w:val="16"/>
              </w:rPr>
              <w:t xml:space="preserve">|      PERSISTENCIA LOCAL FÍSICA      |   |        PASARELAS BANCARIAS        |</w:t>
            </w:r>
          </w:p>
          <w:p>
            <w:pPr>
              <w:spacing w:after="15" w:before="15"/>
            </w:pPr>
            <w:r>
              <w:rPr>
                <w:rFonts w:ascii="Consolas" w:cs="Consolas" w:eastAsia="Consolas" w:hAnsi="Consolas"/>
                <w:color w:val="0F172A"/>
                <w:sz w:val="16"/>
                <w:szCs w:val="16"/>
              </w:rPr>
              <w:t xml:space="preserve">| - SQLite Local (WAL Mode, ACID)     |   | - RutPay (BancoEstado / CuentaRUT)|</w:t>
            </w:r>
          </w:p>
          <w:p>
            <w:pPr>
              <w:spacing w:after="15" w:before="15"/>
            </w:pPr>
            <w:r>
              <w:rPr>
                <w:rFonts w:ascii="Consolas" w:cs="Consolas" w:eastAsia="Consolas" w:hAnsi="Consolas"/>
                <w:color w:val="0F172A"/>
                <w:sz w:val="16"/>
                <w:szCs w:val="16"/>
              </w:rPr>
              <w:t xml:space="preserve">| - Custodia de Archivos CAF XML      |   | - Transbank (Webpay/Redcompra)    |</w:t>
            </w:r>
          </w:p>
          <w:p>
            <w:pPr>
              <w:spacing w:after="15" w:before="15"/>
            </w:pPr>
            <w:r>
              <w:rPr>
                <w:rFonts w:ascii="Consolas" w:cs="Consolas" w:eastAsia="Consolas" w:hAnsi="Consolas"/>
                <w:color w:val="0F172A"/>
                <w:sz w:val="16"/>
                <w:szCs w:val="16"/>
              </w:rPr>
              <w:t xml:space="preserve">| - is_dirty / sync_status flags      |   | - Mercado Pago / SumUp            |</w:t>
            </w:r>
          </w:p>
          <w:p>
            <w:pPr>
              <w:spacing w:after="15" w:before="15"/>
            </w:pPr>
            <w:r>
              <w:rPr>
                <w:rFonts w:ascii="Consolas" w:cs="Consolas" w:eastAsia="Consolas" w:hAnsi="Consolas"/>
                <w:color w:val="0F172A"/>
                <w:sz w:val="16"/>
                <w:szCs w:val="16"/>
              </w:rPr>
              <w:t xml:space="preserve">+-------------------+-----------------+   +-----------------------------------+</w:t>
            </w:r>
          </w:p>
          <w:p>
            <w:pPr>
              <w:spacing w:after="15" w:before="15"/>
            </w:pPr>
            <w:r>
              <w:rPr>
                <w:rFonts w:ascii="Consolas" w:cs="Consolas" w:eastAsia="Consolas" w:hAnsi="Consolas"/>
                <w:color w:val="0F172A"/>
                <w:sz w:val="16"/>
                <w:szCs w:val="16"/>
              </w:rPr>
              <w:t xml:space="preserve">                    |</w:t>
            </w:r>
          </w:p>
          <w:p>
            <w:pPr>
              <w:spacing w:after="15" w:before="15"/>
            </w:pPr>
            <w:r>
              <w:rPr>
                <w:rFonts w:ascii="Consolas" w:cs="Consolas" w:eastAsia="Consolas" w:hAnsi="Consolas"/>
                <w:color w:val="0F172A"/>
                <w:sz w:val="16"/>
                <w:szCs w:val="16"/>
              </w:rPr>
              <w:t xml:space="preserve">                    | Sincronización Bidireccional Asíncrona (Push / Pull)</w:t>
            </w:r>
          </w:p>
          <w:p>
            <w:pPr>
              <w:spacing w:after="15" w:before="15"/>
            </w:pPr>
            <w:r>
              <w:rPr>
                <w:rFonts w:ascii="Consolas" w:cs="Consolas" w:eastAsia="Consolas" w:hAnsi="Consolas"/>
                <w:color w:val="0F172A"/>
                <w:sz w:val="16"/>
                <w:szCs w:val="16"/>
              </w:rPr>
              <w:t xml:space="preserve">                    v</w:t>
            </w:r>
          </w:p>
          <w:p>
            <w:pPr>
              <w:spacing w:after="15" w:before="15"/>
            </w:pPr>
            <w:r>
              <w:rPr>
                <w:rFonts w:ascii="Consolas" w:cs="Consolas" w:eastAsia="Consolas" w:hAnsi="Consolas"/>
                <w:color w:val="0F172A"/>
                <w:sz w:val="16"/>
                <w:szCs w:val="16"/>
              </w:rPr>
              <w:t xml:space="preserve">+-----------------------------------------------------------------------------+</w:t>
            </w:r>
          </w:p>
          <w:p>
            <w:pPr>
              <w:spacing w:after="15" w:before="15"/>
            </w:pPr>
            <w:r>
              <w:rPr>
                <w:rFonts w:ascii="Consolas" w:cs="Consolas" w:eastAsia="Consolas" w:hAnsi="Consolas"/>
                <w:color w:val="0F172A"/>
                <w:sz w:val="16"/>
                <w:szCs w:val="16"/>
              </w:rPr>
              <w:t xml:space="preserve">|                    INFRAESTRUCTURA EN LA NUBE (SaaS Cloud)                  |</w:t>
            </w:r>
          </w:p>
          <w:p>
            <w:pPr>
              <w:spacing w:after="15" w:before="15"/>
            </w:pPr>
            <w:r>
              <w:rPr>
                <w:rFonts w:ascii="Consolas" w:cs="Consolas" w:eastAsia="Consolas" w:hAnsi="Consolas"/>
                <w:color w:val="0F172A"/>
                <w:sz w:val="16"/>
                <w:szCs w:val="16"/>
              </w:rPr>
              <w:t xml:space="preserve">| - PostgreSQL Central Multi-Tenant (Aislamiento por tenant_id)               |</w:t>
            </w:r>
          </w:p>
          <w:p>
            <w:pPr>
              <w:spacing w:after="15" w:before="15"/>
            </w:pPr>
            <w:r>
              <w:rPr>
                <w:rFonts w:ascii="Consolas" w:cs="Consolas" w:eastAsia="Consolas" w:hAnsi="Consolas"/>
                <w:color w:val="0F172A"/>
                <w:sz w:val="16"/>
                <w:szCs w:val="16"/>
              </w:rPr>
              <w:t xml:space="preserve">| - Consolidación de Ventas, Inteligencia y Conexión al SII                   |</w:t>
            </w:r>
          </w:p>
          <w:p>
            <w:pPr>
              <w:spacing w:after="15" w:before="15"/>
            </w:pPr>
            <w:r>
              <w:rPr>
                <w:rFonts w:ascii="Consolas" w:cs="Consolas" w:eastAsia="Consolas" w:hAnsi="Consolas"/>
                <w:color w:val="0F172A"/>
                <w:sz w:val="16"/>
                <w:szCs w:val="16"/>
              </w:rPr>
              <w:t xml:space="preserve">+-----------------------------------------------------------------------------+</w:t>
            </w:r>
          </w:p>
        </w:tc>
      </w:tr>
    </w:tbl>
    <w:p>
      <w:pPr>
        <w:pStyle w:val="Heading2"/>
        <w:spacing w:after="100" w:before="300"/>
      </w:pPr>
      <w:r>
        <w:t xml:space="preserve">6.2. Diagrama de Flujo de Venta POS, Control de Alcohol y Facturación DTE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Cajero                   Terminal POS                     Backend Local           SQLite / DTE Engine</w:t>
            </w:r>
          </w:p>
          <w:p>
            <w:pPr>
              <w:spacing w:after="15" w:before="15"/>
            </w:pPr>
            <w:r>
              <w:rPr>
                <w:rFonts w:ascii="Consolas" w:cs="Consolas" w:eastAsia="Consolas" w:hAnsi="Consolas"/>
                <w:color w:val="0F172A"/>
                <w:sz w:val="16"/>
                <w:szCs w:val="16"/>
              </w:rPr>
              <w:t xml:space="preserve">  |                            |                                |                        |</w:t>
            </w:r>
          </w:p>
          <w:p>
            <w:pPr>
              <w:spacing w:after="15" w:before="15"/>
            </w:pPr>
            <w:r>
              <w:rPr>
                <w:rFonts w:ascii="Consolas" w:cs="Consolas" w:eastAsia="Consolas" w:hAnsi="Consolas"/>
                <w:color w:val="0F172A"/>
                <w:sz w:val="16"/>
                <w:szCs w:val="16"/>
              </w:rPr>
              <w:t xml:space="preserve">  |--- Escanea productos -----&gt;|                                |                        |</w:t>
            </w:r>
          </w:p>
          <w:p>
            <w:pPr>
              <w:spacing w:after="15" w:before="15"/>
            </w:pPr>
            <w:r>
              <w:rPr>
                <w:rFonts w:ascii="Consolas" w:cs="Consolas" w:eastAsia="Consolas" w:hAnsi="Consolas"/>
                <w:color w:val="0F172A"/>
                <w:sz w:val="16"/>
                <w:szCs w:val="16"/>
              </w:rPr>
              <w:t xml:space="preserve">  |                            |-- Detecta Alcohol (ILA 27/28)-&gt;|                        |</w:t>
            </w:r>
          </w:p>
          <w:p>
            <w:pPr>
              <w:spacing w:after="15" w:before="15"/>
            </w:pPr>
            <w:r>
              <w:rPr>
                <w:rFonts w:ascii="Consolas" w:cs="Consolas" w:eastAsia="Consolas" w:hAnsi="Consolas"/>
                <w:color w:val="0F172A"/>
                <w:sz w:val="16"/>
                <w:szCs w:val="16"/>
              </w:rPr>
              <w:t xml:space="preserve">  |                            |   [Bloquea Cobro + Badge 🔞]  |                        |</w:t>
            </w:r>
          </w:p>
          <w:p>
            <w:pPr>
              <w:spacing w:after="15" w:before="15"/>
            </w:pPr>
            <w:r>
              <w:rPr>
                <w:rFonts w:ascii="Consolas" w:cs="Consolas" w:eastAsia="Consolas" w:hAnsi="Consolas"/>
                <w:color w:val="0F172A"/>
                <w:sz w:val="16"/>
                <w:szCs w:val="16"/>
              </w:rPr>
              <w:t xml:space="preserve">  |&lt;-- Solicita Carnet (+18) --|                                |                        |</w:t>
            </w:r>
          </w:p>
          <w:p>
            <w:pPr>
              <w:spacing w:after="15" w:before="15"/>
            </w:pPr>
            <w:r>
              <w:rPr>
                <w:rFonts w:ascii="Consolas" w:cs="Consolas" w:eastAsia="Consolas" w:hAnsi="Consolas"/>
                <w:color w:val="0F172A"/>
                <w:sz w:val="16"/>
                <w:szCs w:val="16"/>
              </w:rPr>
              <w:t xml:space="preserve">  |--- Marca Checkbox (+18) --&gt;|                                |                        |</w:t>
            </w:r>
          </w:p>
          <w:p>
            <w:pPr>
              <w:spacing w:after="15" w:before="15"/>
            </w:pPr>
            <w:r>
              <w:rPr>
                <w:rFonts w:ascii="Consolas" w:cs="Consolas" w:eastAsia="Consolas" w:hAnsi="Consolas"/>
                <w:color w:val="0F172A"/>
                <w:sz w:val="16"/>
                <w:szCs w:val="16"/>
              </w:rPr>
              <w:t xml:space="preserve">  |                            |-- Aplica Ley Redondeo 20.956 -&gt;|                        |</w:t>
            </w:r>
          </w:p>
          <w:p>
            <w:pPr>
              <w:spacing w:after="15" w:before="15"/>
            </w:pPr>
            <w:r>
              <w:rPr>
                <w:rFonts w:ascii="Consolas" w:cs="Consolas" w:eastAsia="Consolas" w:hAnsi="Consolas"/>
                <w:color w:val="0F172A"/>
                <w:sz w:val="16"/>
                <w:szCs w:val="16"/>
              </w:rPr>
              <w:t xml:space="preserve">  |--- Selecciona RutPay -----&gt;|                                |                        |</w:t>
            </w:r>
          </w:p>
          <w:p>
            <w:pPr>
              <w:spacing w:after="15" w:before="15"/>
            </w:pPr>
            <w:r>
              <w:rPr>
                <w:rFonts w:ascii="Consolas" w:cs="Consolas" w:eastAsia="Consolas" w:hAnsi="Consolas"/>
                <w:color w:val="0F172A"/>
                <w:sz w:val="16"/>
                <w:szCs w:val="16"/>
              </w:rPr>
              <w:t xml:space="preserve">  |--- Presiona Cobrar (F4) --&gt;|                                |                        |</w:t>
            </w:r>
          </w:p>
          <w:p>
            <w:pPr>
              <w:spacing w:after="15" w:before="15"/>
            </w:pPr>
            <w:r>
              <w:rPr>
                <w:rFonts w:ascii="Consolas" w:cs="Consolas" w:eastAsia="Consolas" w:hAnsi="Consolas"/>
                <w:color w:val="0F172A"/>
                <w:sz w:val="16"/>
                <w:szCs w:val="16"/>
              </w:rPr>
              <w:t xml:space="preserve">  |                            |--- POST /api/v1/pos/checkout -&gt;|                        |</w:t>
            </w:r>
          </w:p>
          <w:p>
            <w:pPr>
              <w:spacing w:after="15" w:before="15"/>
            </w:pPr>
            <w:r>
              <w:rPr>
                <w:rFonts w:ascii="Consolas" w:cs="Consolas" w:eastAsia="Consolas" w:hAnsi="Consolas"/>
                <w:color w:val="0F172A"/>
                <w:sz w:val="16"/>
                <w:szCs w:val="16"/>
              </w:rPr>
              <w:t xml:space="preserve">  |                            |                                |-- Inicia Pago RutPay -&gt;|</w:t>
            </w:r>
          </w:p>
          <w:p>
            <w:pPr>
              <w:spacing w:after="15" w:before="15"/>
            </w:pPr>
            <w:r>
              <w:rPr>
                <w:rFonts w:ascii="Consolas" w:cs="Consolas" w:eastAsia="Consolas" w:hAnsi="Consolas"/>
                <w:color w:val="0F172A"/>
                <w:sz w:val="16"/>
                <w:szCs w:val="16"/>
              </w:rPr>
              <w:t xml:space="preserve">  |                            |                                |&lt;-- Pago Aprobado ------|</w:t>
            </w:r>
          </w:p>
          <w:p>
            <w:pPr>
              <w:spacing w:after="15" w:before="15"/>
            </w:pPr>
            <w:r>
              <w:rPr>
                <w:rFonts w:ascii="Consolas" w:cs="Consolas" w:eastAsia="Consolas" w:hAnsi="Consolas"/>
                <w:color w:val="0F172A"/>
                <w:sz w:val="16"/>
                <w:szCs w:val="16"/>
              </w:rPr>
              <w:t xml:space="preserve">  |                            |                                |-- INICIA TRANSACCIÓN -&gt;|</w:t>
            </w:r>
          </w:p>
          <w:p>
            <w:pPr>
              <w:spacing w:after="15" w:before="15"/>
            </w:pPr>
            <w:r>
              <w:rPr>
                <w:rFonts w:ascii="Consolas" w:cs="Consolas" w:eastAsia="Consolas" w:hAnsi="Consolas"/>
                <w:color w:val="0F172A"/>
                <w:sz w:val="16"/>
                <w:szCs w:val="16"/>
              </w:rPr>
              <w:t xml:space="preserve">  |                            |                                |-- INSERT venta --------|</w:t>
            </w:r>
          </w:p>
          <w:p>
            <w:pPr>
              <w:spacing w:after="15" w:before="15"/>
            </w:pPr>
            <w:r>
              <w:rPr>
                <w:rFonts w:ascii="Consolas" w:cs="Consolas" w:eastAsia="Consolas" w:hAnsi="Consolas"/>
                <w:color w:val="0F172A"/>
                <w:sz w:val="16"/>
                <w:szCs w:val="16"/>
              </w:rPr>
              <w:t xml:space="preserve">  |                            |                                |-- UPDATE stock --------|</w:t>
            </w:r>
          </w:p>
          <w:p>
            <w:pPr>
              <w:spacing w:after="15" w:before="15"/>
            </w:pPr>
            <w:r>
              <w:rPr>
                <w:rFonts w:ascii="Consolas" w:cs="Consolas" w:eastAsia="Consolas" w:hAnsi="Consolas"/>
                <w:color w:val="0F172A"/>
                <w:sz w:val="16"/>
                <w:szCs w:val="16"/>
              </w:rPr>
              <w:t xml:space="preserve">  |                            |                                |-- COMMIT TRANSACCIÓN --|</w:t>
            </w:r>
          </w:p>
          <w:p>
            <w:pPr>
              <w:spacing w:after="15" w:before="15"/>
            </w:pPr>
            <w:r>
              <w:rPr>
                <w:rFonts w:ascii="Consolas" w:cs="Consolas" w:eastAsia="Consolas" w:hAnsi="Consolas"/>
                <w:color w:val="0F172A"/>
                <w:sz w:val="16"/>
                <w:szCs w:val="16"/>
              </w:rPr>
              <w:t xml:space="preserve">  |                            |                                |-- Genera DTE / TED ----|</w:t>
            </w:r>
          </w:p>
          <w:p>
            <w:pPr>
              <w:spacing w:after="15" w:before="15"/>
            </w:pPr>
            <w:r>
              <w:rPr>
                <w:rFonts w:ascii="Consolas" w:cs="Consolas" w:eastAsia="Consolas" w:hAnsi="Consolas"/>
                <w:color w:val="0F172A"/>
                <w:sz w:val="16"/>
                <w:szCs w:val="16"/>
              </w:rPr>
              <w:t xml:space="preserve">  |                            |&lt;-- HTTP 201 { Folio, DTE } ----|                        |</w:t>
            </w:r>
          </w:p>
          <w:p>
            <w:pPr>
              <w:spacing w:after="15" w:before="15"/>
            </w:pPr>
            <w:r>
              <w:rPr>
                <w:rFonts w:ascii="Consolas" w:cs="Consolas" w:eastAsia="Consolas" w:hAnsi="Consolas"/>
                <w:color w:val="0F172A"/>
                <w:sz w:val="16"/>
                <w:szCs w:val="16"/>
              </w:rPr>
              <w:t xml:space="preserve">  |&lt;-- Imprime Ticket Térmico -|                                |                        |</w:t>
            </w:r>
          </w:p>
          <w:p>
            <w:pPr>
              <w:spacing w:after="15" w:before="15"/>
            </w:pPr>
            <w:r>
              <w:rPr>
                <w:rFonts w:ascii="Consolas" w:cs="Consolas" w:eastAsia="Consolas" w:hAnsi="Consolas"/>
                <w:color w:val="0F172A"/>
                <w:sz w:val="16"/>
                <w:szCs w:val="16"/>
              </w:rPr>
              <w:t xml:space="preserve">  |    (QR SII + Nota Ley 19925)                                |                        |</w:t>
            </w:r>
          </w:p>
        </w:tc>
      </w:tr>
    </w:tbl>
    <w:p>
      <w:pPr>
        <w:pStyle w:val="Heading2"/>
        <w:spacing w:after="100" w:before="300"/>
      </w:pPr>
      <w:r>
        <w:t xml:space="preserve">6.3. Diagrama de Flujo de Sincronización Nube Bidireccional (Push / Pull)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POS Local (Terminal de Caja)            API GesTock                      Nube (PostgreSQL)</w:t>
            </w:r>
          </w:p>
          <w:p>
            <w:pPr>
              <w:spacing w:after="15" w:before="15"/>
            </w:pPr>
            <w:r>
              <w:rPr>
                <w:rFonts w:ascii="Consolas" w:cs="Consolas" w:eastAsia="Consolas" w:hAnsi="Consolas"/>
                <w:color w:val="0F172A"/>
                <w:sz w:val="16"/>
                <w:szCs w:val="16"/>
              </w:rPr>
              <w:t xml:space="preserve">  |                                       |                                    |</w:t>
            </w:r>
          </w:p>
          <w:p>
            <w:pPr>
              <w:spacing w:after="15" w:before="15"/>
            </w:pPr>
            <w:r>
              <w:rPr>
                <w:rFonts w:ascii="Consolas" w:cs="Consolas" w:eastAsia="Consolas" w:hAnsi="Consolas"/>
                <w:color w:val="0F172A"/>
                <w:sz w:val="16"/>
                <w:szCs w:val="16"/>
              </w:rPr>
              <w:t xml:space="preserve">  |--- Clic "⚡ Sincronizar Nube" --------&gt;|                                    |</w:t>
            </w:r>
          </w:p>
          <w:p>
            <w:pPr>
              <w:spacing w:after="15" w:before="15"/>
            </w:pPr>
            <w:r>
              <w:rPr>
                <w:rFonts w:ascii="Consolas" w:cs="Consolas" w:eastAsia="Consolas" w:hAnsi="Consolas"/>
                <w:color w:val="0F172A"/>
                <w:sz w:val="16"/>
                <w:szCs w:val="16"/>
              </w:rPr>
              <w:t xml:space="preserve">  |    (o disparo periódico automático)   |                                    |</w:t>
            </w:r>
          </w:p>
          <w:p>
            <w:pPr>
              <w:spacing w:after="15" w:before="15"/>
            </w:pPr>
            <w:r>
              <w:rPr>
                <w:rFonts w:ascii="Consolas" w:cs="Consolas" w:eastAsia="Consolas" w:hAnsi="Consolas"/>
                <w:color w:val="0F172A"/>
                <w:sz w:val="16"/>
                <w:szCs w:val="16"/>
              </w:rPr>
              <w:t xml:space="preserve">  |                                       |--- Healthcheck Conectividad ------&gt;|</w:t>
            </w:r>
          </w:p>
          <w:p>
            <w:pPr>
              <w:spacing w:after="15" w:before="15"/>
            </w:pPr>
            <w:r>
              <w:rPr>
                <w:rFonts w:ascii="Consolas" w:cs="Consolas" w:eastAsia="Consolas" w:hAnsi="Consolas"/>
                <w:color w:val="0F172A"/>
                <w:sz w:val="16"/>
                <w:szCs w:val="16"/>
              </w:rPr>
              <w:t xml:space="preserve">  |                                       |&lt;-- Conexión Exitosa (200 OK) ------|</w:t>
            </w:r>
          </w:p>
          <w:p>
            <w:pPr>
              <w:spacing w:after="15" w:before="15"/>
            </w:pPr>
            <w:r>
              <w:rPr>
                <w:rFonts w:ascii="Consolas" w:cs="Consolas" w:eastAsia="Consolas" w:hAnsi="Consolas"/>
                <w:color w:val="0F172A"/>
                <w:sz w:val="16"/>
                <w:szCs w:val="16"/>
              </w:rPr>
              <w:t xml:space="preserve">  |                                       |                                    |</w:t>
            </w:r>
          </w:p>
          <w:p>
            <w:pPr>
              <w:spacing w:after="15" w:before="15"/>
            </w:pPr>
            <w:r>
              <w:rPr>
                <w:rFonts w:ascii="Consolas" w:cs="Consolas" w:eastAsia="Consolas" w:hAnsi="Consolas"/>
                <w:color w:val="0F172A"/>
                <w:sz w:val="16"/>
                <w:szCs w:val="16"/>
              </w:rPr>
              <w:t xml:space="preserve">  |                                       |== 1. PUSH DE VENTAS RETENIDAS =====|</w:t>
            </w:r>
          </w:p>
          <w:p>
            <w:pPr>
              <w:spacing w:after="15" w:before="15"/>
            </w:pPr>
            <w:r>
              <w:rPr>
                <w:rFonts w:ascii="Consolas" w:cs="Consolas" w:eastAsia="Consolas" w:hAnsi="Consolas"/>
                <w:color w:val="0F172A"/>
                <w:sz w:val="16"/>
                <w:szCs w:val="16"/>
              </w:rPr>
              <w:t xml:space="preserve">  |                                       |--- SELECT ventas WHERE is_dirty=1 -|</w:t>
            </w:r>
          </w:p>
          <w:p>
            <w:pPr>
              <w:spacing w:after="15" w:before="15"/>
            </w:pPr>
            <w:r>
              <w:rPr>
                <w:rFonts w:ascii="Consolas" w:cs="Consolas" w:eastAsia="Consolas" w:hAnsi="Consolas"/>
                <w:color w:val="0F172A"/>
                <w:sz w:val="16"/>
                <w:szCs w:val="16"/>
              </w:rPr>
              <w:t xml:space="preserve">  |                                       |--- Ingesta Lote Transaccional ----&gt;|</w:t>
            </w:r>
          </w:p>
          <w:p>
            <w:pPr>
              <w:spacing w:after="15" w:before="15"/>
            </w:pPr>
            <w:r>
              <w:rPr>
                <w:rFonts w:ascii="Consolas" w:cs="Consolas" w:eastAsia="Consolas" w:hAnsi="Consolas"/>
                <w:color w:val="0F172A"/>
                <w:sz w:val="16"/>
                <w:szCs w:val="16"/>
              </w:rPr>
              <w:t xml:space="preserve">  |                                       |    (Aplica Delta Neto de Stock)    |</w:t>
            </w:r>
          </w:p>
          <w:p>
            <w:pPr>
              <w:spacing w:after="15" w:before="15"/>
            </w:pPr>
            <w:r>
              <w:rPr>
                <w:rFonts w:ascii="Consolas" w:cs="Consolas" w:eastAsia="Consolas" w:hAnsi="Consolas"/>
                <w:color w:val="0F172A"/>
                <w:sz w:val="16"/>
                <w:szCs w:val="16"/>
              </w:rPr>
              <w:t xml:space="preserve">  |                                       |&lt;-- Ventas Ingestadas / SyncedIds --|</w:t>
            </w:r>
          </w:p>
          <w:p>
            <w:pPr>
              <w:spacing w:after="15" w:before="15"/>
            </w:pPr>
            <w:r>
              <w:rPr>
                <w:rFonts w:ascii="Consolas" w:cs="Consolas" w:eastAsia="Consolas" w:hAnsi="Consolas"/>
                <w:color w:val="0F172A"/>
                <w:sz w:val="16"/>
                <w:szCs w:val="16"/>
              </w:rPr>
              <w:t xml:space="preserve">  |                                       |--- UPDATE is_dirty=0 en SQLite ----|</w:t>
            </w:r>
          </w:p>
          <w:p>
            <w:pPr>
              <w:spacing w:after="15" w:before="15"/>
            </w:pPr>
            <w:r>
              <w:rPr>
                <w:rFonts w:ascii="Consolas" w:cs="Consolas" w:eastAsia="Consolas" w:hAnsi="Consolas"/>
                <w:color w:val="0F172A"/>
                <w:sz w:val="16"/>
                <w:szCs w:val="16"/>
              </w:rPr>
              <w:t xml:space="preserve">  |                                       |                                    |</w:t>
            </w:r>
          </w:p>
          <w:p>
            <w:pPr>
              <w:spacing w:after="15" w:before="15"/>
            </w:pPr>
            <w:r>
              <w:rPr>
                <w:rFonts w:ascii="Consolas" w:cs="Consolas" w:eastAsia="Consolas" w:hAnsi="Consolas"/>
                <w:color w:val="0F172A"/>
                <w:sz w:val="16"/>
                <w:szCs w:val="16"/>
              </w:rPr>
              <w:t xml:space="preserve">  |                                       |== 2. PULL DE CATÁLOGO Y PRECIOS ===|</w:t>
            </w:r>
          </w:p>
          <w:p>
            <w:pPr>
              <w:spacing w:after="15" w:before="15"/>
            </w:pPr>
            <w:r>
              <w:rPr>
                <w:rFonts w:ascii="Consolas" w:cs="Consolas" w:eastAsia="Consolas" w:hAnsi="Consolas"/>
                <w:color w:val="0F172A"/>
                <w:sz w:val="16"/>
                <w:szCs w:val="16"/>
              </w:rPr>
              <w:t xml:space="preserve">  |                                       |--- GET /sync/pull?last_pull ------&gt;|</w:t>
            </w:r>
          </w:p>
          <w:p>
            <w:pPr>
              <w:spacing w:after="15" w:before="15"/>
            </w:pPr>
            <w:r>
              <w:rPr>
                <w:rFonts w:ascii="Consolas" w:cs="Consolas" w:eastAsia="Consolas" w:hAnsi="Consolas"/>
                <w:color w:val="0F172A"/>
                <w:sz w:val="16"/>
                <w:szCs w:val="16"/>
              </w:rPr>
              <w:t xml:space="preserve">  |                                       |&lt;-- Nuevos Precios / Productos -----|</w:t>
            </w:r>
          </w:p>
          <w:p>
            <w:pPr>
              <w:spacing w:after="15" w:before="15"/>
            </w:pPr>
            <w:r>
              <w:rPr>
                <w:rFonts w:ascii="Consolas" w:cs="Consolas" w:eastAsia="Consolas" w:hAnsi="Consolas"/>
                <w:color w:val="0F172A"/>
                <w:sz w:val="16"/>
                <w:szCs w:val="16"/>
              </w:rPr>
              <w:t xml:space="preserve">  |                                       |--- Actualiza Catálogo en SQLite ---|</w:t>
            </w:r>
          </w:p>
          <w:p>
            <w:pPr>
              <w:spacing w:after="15" w:before="15"/>
            </w:pPr>
            <w:r>
              <w:rPr>
                <w:rFonts w:ascii="Consolas" w:cs="Consolas" w:eastAsia="Consolas" w:hAnsi="Consolas"/>
                <w:color w:val="0F172A"/>
                <w:sz w:val="16"/>
                <w:szCs w:val="16"/>
              </w:rPr>
              <w:t xml:space="preserve">  |                                       |                                    |</w:t>
            </w:r>
          </w:p>
          <w:p>
            <w:pPr>
              <w:spacing w:after="15" w:before="15"/>
            </w:pPr>
            <w:r>
              <w:rPr>
                <w:rFonts w:ascii="Consolas" w:cs="Consolas" w:eastAsia="Consolas" w:hAnsi="Consolas"/>
                <w:color w:val="0F172A"/>
                <w:sz w:val="16"/>
                <w:szCs w:val="16"/>
              </w:rPr>
              <w:t xml:space="preserve">  |&lt;-- HTTP 200 { synced, pending: 0 } ---|                                    |</w:t>
            </w:r>
          </w:p>
          <w:p>
            <w:pPr>
              <w:spacing w:after="15" w:before="15"/>
            </w:pPr>
            <w:r>
              <w:rPr>
                <w:rFonts w:ascii="Consolas" w:cs="Consolas" w:eastAsia="Consolas" w:hAnsi="Consolas"/>
                <w:color w:val="0F172A"/>
                <w:sz w:val="16"/>
                <w:szCs w:val="16"/>
              </w:rPr>
              <w:t xml:space="preserve">  |                                                                            |</w:t>
            </w:r>
          </w:p>
          <w:p>
            <w:pPr>
              <w:spacing w:after="15" w:before="15"/>
            </w:pPr>
            <w:r>
              <w:rPr>
                <w:rFonts w:ascii="Consolas" w:cs="Consolas" w:eastAsia="Consolas" w:hAnsi="Consolas"/>
                <w:color w:val="0F172A"/>
                <w:sz w:val="16"/>
                <w:szCs w:val="16"/>
              </w:rPr>
              <w:t xml:space="preserve">  |-- Ilumina Indicador: 🟢 ONLINE / SINCRONIZADO (Pendientes: 0) -------------|</w:t>
            </w:r>
          </w:p>
        </w:tc>
      </w:tr>
    </w:tbl>
    <w:p>
      <w:pPr>
        <w:pStyle w:val="Heading1"/>
        <w:spacing w:after="150" w:before="400"/>
      </w:pPr>
      <w:r>
        <w:t xml:space="preserve">7. Modelo Entidad-Relación (MER) y Diccionario de Datos</w:t>
      </w:r>
    </w:p>
    <w:p>
      <w:pPr>
        <w:spacing w:after="60" w:before="60"/>
      </w:pPr>
      <w:r>
        <w:rPr>
          <w:rFonts w:ascii="Calibri" w:cs="Calibri" w:eastAsia="Calibri" w:hAnsi="Calibri"/>
          <w:color w:val="1E293B"/>
          <w:sz w:val="22"/>
          <w:szCs w:val="22"/>
        </w:rPr>
        <w:t xml:space="preserve">El esquema relacional de GesTock está normalizado en Tercera Forma Normal (3NF) y garantiza aislamiento lógico por tenant_id en todas las tablas:</w:t>
      </w:r>
    </w:p>
    <w:p>
      <w:pPr>
        <w:pStyle w:val="Heading2"/>
        <w:spacing w:after="100" w:before="300"/>
      </w:pPr>
      <w:r>
        <w:t xml:space="preserve">7.1. Relaciones Principales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8FAFC" w:val="clear"/>
            <w:tcMar>
              <w:top w:type="dxa" w:w="140"/>
              <w:left w:type="dxa" w:w="180"/>
              <w:bottom w:type="dxa" w:w="140"/>
              <w:right w:type="dxa" w:w="180"/>
            </w:tcMar>
          </w:tcPr>
          <w:p>
            <w:pPr>
              <w:spacing w:after="15" w:before="15"/>
            </w:pPr>
            <w:r>
              <w:rPr>
                <w:rFonts w:ascii="Consolas" w:cs="Consolas" w:eastAsia="Consolas" w:hAnsi="Consolas"/>
                <w:color w:val="0F172A"/>
                <w:sz w:val="16"/>
                <w:szCs w:val="16"/>
              </w:rPr>
              <w:t xml:space="preserve">  [tenants] 1---N [usuarios]</w:t>
            </w:r>
          </w:p>
          <w:p>
            <w:pPr>
              <w:spacing w:after="15" w:before="15"/>
            </w:pPr>
            <w:r>
              <w:rPr>
                <w:rFonts w:ascii="Consolas" w:cs="Consolas" w:eastAsia="Consolas" w:hAnsi="Consolas"/>
                <w:color w:val="0F172A"/>
                <w:sz w:val="16"/>
                <w:szCs w:val="16"/>
              </w:rPr>
              <w:t xml:space="preserve">  [tenants] 1---N [proveedores]</w:t>
            </w:r>
          </w:p>
          <w:p>
            <w:pPr>
              <w:spacing w:after="15" w:before="15"/>
            </w:pPr>
            <w:r>
              <w:rPr>
                <w:rFonts w:ascii="Consolas" w:cs="Consolas" w:eastAsia="Consolas" w:hAnsi="Consolas"/>
                <w:color w:val="0F172A"/>
                <w:sz w:val="16"/>
                <w:szCs w:val="16"/>
              </w:rPr>
              <w:t xml:space="preserve">  [tenants] 1---N [productos]</w:t>
            </w:r>
          </w:p>
          <w:p>
            <w:pPr>
              <w:spacing w:after="15" w:before="15"/>
            </w:pPr>
            <w:r>
              <w:rPr>
                <w:rFonts w:ascii="Consolas" w:cs="Consolas" w:eastAsia="Consolas" w:hAnsi="Consolas"/>
                <w:color w:val="0F172A"/>
                <w:sz w:val="16"/>
                <w:szCs w:val="16"/>
              </w:rPr>
              <w:t xml:space="preserve">  [tenants] 1---N [metodos_pago]</w:t>
            </w:r>
          </w:p>
          <w:p>
            <w:pPr>
              <w:spacing w:after="15" w:before="15"/>
            </w:pPr>
            <w:r>
              <w:rPr>
                <w:rFonts w:ascii="Consolas" w:cs="Consolas" w:eastAsia="Consolas" w:hAnsi="Consolas"/>
                <w:color w:val="0F172A"/>
                <w:sz w:val="16"/>
                <w:szCs w:val="16"/>
              </w:rPr>
              <w:t xml:space="preserve">  [tenants] 1---N [transacciones_venta]</w:t>
            </w:r>
          </w:p>
          <w:p>
            <w:pPr>
              <w:spacing w:after="15" w:before="15"/>
            </w:pPr>
            <w:r>
              <w:rPr>
                <w:rFonts w:ascii="Consolas" w:cs="Consolas" w:eastAsia="Consolas" w:hAnsi="Consolas"/>
                <w:color w:val="0F172A"/>
                <w:sz w:val="16"/>
                <w:szCs w:val="16"/>
              </w:rPr>
              <w:t xml:space="preserve">  [tenants] 1---N [sesiones_caja]</w:t>
            </w:r>
          </w:p>
          <w:p>
            <w:pPr>
              <w:spacing w:after="15" w:before="15"/>
            </w:pPr>
            <w:r>
              <w:rPr>
                <w:rFonts w:ascii="Consolas" w:cs="Consolas" w:eastAsia="Consolas" w:hAnsi="Consolas"/>
                <w:color w:val="0F172A"/>
                <w:sz w:val="16"/>
                <w:szCs w:val="16"/>
              </w:rPr>
              <w:t xml:space="preserve">  [tenants] 1---N [dte_documentos]</w:t>
            </w:r>
          </w:p>
          <w:p>
            <w:pPr>
              <w:spacing w:after="15" w:before="15"/>
            </w:pPr>
            <w:r>
              <w:rPr>
                <w:rFonts w:ascii="Consolas" w:cs="Consolas" w:eastAsia="Consolas" w:hAnsi="Consolas"/>
                <w:color w:val="0F172A"/>
                <w:sz w:val="16"/>
                <w:szCs w:val="16"/>
              </w:rPr>
              <w:t xml:space="preserve">  [tenants] 1---N [dte_caf_folios]</w:t>
            </w:r>
          </w:p>
          <w:p>
            <w:pPr>
              <w:spacing w:after="15" w:before="15"/>
            </w:pPr>
            <w:r>
              <w:rPr>
                <w:rFonts w:ascii="Consolas" w:cs="Consolas" w:eastAsia="Consolas" w:hAnsi="Consolas"/>
                <w:color w:val="0F172A"/>
                <w:sz w:val="16"/>
                <w:szCs w:val="16"/>
              </w:rPr>
              <w:t xml:space="preserve">  [tenants] 1---N [guias_despacho]</w:t>
            </w:r>
          </w:p>
          <w:p>
            <w:pPr>
              <w:spacing w:after="15" w:before="15"/>
            </w:pPr>
            <w:r>
              <w:rPr>
                <w:rFonts w:ascii="Consolas" w:cs="Consolas" w:eastAsia="Consolas" w:hAnsi="Consolas"/>
                <w:color w:val="0F172A"/>
                <w:sz w:val="16"/>
                <w:szCs w:val="16"/>
              </w:rPr>
              <w:t xml:space="preserve">  [tenants] 1---N [configuraciones_sistema]</w:t>
            </w:r>
          </w:p>
          <w:p>
            <w:pPr>
              <w:spacing w:after="15" w:before="15"/>
            </w:pPr>
            <w:r>
              <w:rPr>
                <w:rFonts w:ascii="Consolas" w:cs="Consolas" w:eastAsia="Consolas" w:hAnsi="Consolas"/>
                <w:color w:val="0F172A"/>
                <w:sz w:val="16"/>
                <w:szCs w:val="16"/>
              </w:rPr>
              <w:t xml:space="preserve"/>
            </w:r>
          </w:p>
          <w:p>
            <w:pPr>
              <w:spacing w:after="15" w:before="15"/>
            </w:pPr>
            <w:r>
              <w:rPr>
                <w:rFonts w:ascii="Consolas" w:cs="Consolas" w:eastAsia="Consolas" w:hAnsi="Consolas"/>
                <w:color w:val="0F172A"/>
                <w:sz w:val="16"/>
                <w:szCs w:val="16"/>
              </w:rPr>
              <w:t xml:space="preserve">  [proveedores] 1---N [factura_ingresos]</w:t>
            </w:r>
          </w:p>
          <w:p>
            <w:pPr>
              <w:spacing w:after="15" w:before="15"/>
            </w:pPr>
            <w:r>
              <w:rPr>
                <w:rFonts w:ascii="Consolas" w:cs="Consolas" w:eastAsia="Consolas" w:hAnsi="Consolas"/>
                <w:color w:val="0F172A"/>
                <w:sz w:val="16"/>
                <w:szCs w:val="16"/>
              </w:rPr>
              <w:t xml:space="preserve">  [proveedores] 1---N [productos]</w:t>
            </w:r>
          </w:p>
          <w:p>
            <w:pPr>
              <w:spacing w:after="15" w:before="15"/>
            </w:pPr>
            <w:r>
              <w:rPr>
                <w:rFonts w:ascii="Consolas" w:cs="Consolas" w:eastAsia="Consolas" w:hAnsi="Consolas"/>
                <w:color w:val="0F172A"/>
                <w:sz w:val="16"/>
                <w:szCs w:val="16"/>
              </w:rPr>
              <w:t xml:space="preserve"/>
            </w:r>
          </w:p>
          <w:p>
            <w:pPr>
              <w:spacing w:after="15" w:before="15"/>
            </w:pPr>
            <w:r>
              <w:rPr>
                <w:rFonts w:ascii="Consolas" w:cs="Consolas" w:eastAsia="Consolas" w:hAnsi="Consolas"/>
                <w:color w:val="0F172A"/>
                <w:sz w:val="16"/>
                <w:szCs w:val="16"/>
              </w:rPr>
              <w:t xml:space="preserve">  [productos] 1---N [detalle_venta]</w:t>
            </w:r>
          </w:p>
          <w:p>
            <w:pPr>
              <w:spacing w:after="15" w:before="15"/>
            </w:pPr>
            <w:r>
              <w:rPr>
                <w:rFonts w:ascii="Consolas" w:cs="Consolas" w:eastAsia="Consolas" w:hAnsi="Consolas"/>
                <w:color w:val="0F172A"/>
                <w:sz w:val="16"/>
                <w:szCs w:val="16"/>
              </w:rPr>
              <w:t xml:space="preserve">  [productos] 1---N [historial_stock]</w:t>
            </w:r>
          </w:p>
          <w:p>
            <w:pPr>
              <w:spacing w:after="15" w:before="15"/>
            </w:pPr>
            <w:r>
              <w:rPr>
                <w:rFonts w:ascii="Consolas" w:cs="Consolas" w:eastAsia="Consolas" w:hAnsi="Consolas"/>
                <w:color w:val="0F172A"/>
                <w:sz w:val="16"/>
                <w:szCs w:val="16"/>
              </w:rPr>
              <w:t xml:space="preserve">  [productos] 1---N [movimientos_inventario]</w:t>
            </w:r>
          </w:p>
          <w:p>
            <w:pPr>
              <w:spacing w:after="15" w:before="15"/>
            </w:pPr>
            <w:r>
              <w:rPr>
                <w:rFonts w:ascii="Consolas" w:cs="Consolas" w:eastAsia="Consolas" w:hAnsi="Consolas"/>
                <w:color w:val="0F172A"/>
                <w:sz w:val="16"/>
                <w:szCs w:val="16"/>
              </w:rPr>
              <w:t xml:space="preserve"/>
            </w:r>
          </w:p>
          <w:p>
            <w:pPr>
              <w:spacing w:after="15" w:before="15"/>
            </w:pPr>
            <w:r>
              <w:rPr>
                <w:rFonts w:ascii="Consolas" w:cs="Consolas" w:eastAsia="Consolas" w:hAnsi="Consolas"/>
                <w:color w:val="0F172A"/>
                <w:sz w:val="16"/>
                <w:szCs w:val="16"/>
              </w:rPr>
              <w:t xml:space="preserve">  [transacciones_venta] 1---N [detalle_venta]</w:t>
            </w:r>
          </w:p>
          <w:p>
            <w:pPr>
              <w:spacing w:after="15" w:before="15"/>
            </w:pPr>
            <w:r>
              <w:rPr>
                <w:rFonts w:ascii="Consolas" w:cs="Consolas" w:eastAsia="Consolas" w:hAnsi="Consolas"/>
                <w:color w:val="0F172A"/>
                <w:sz w:val="16"/>
                <w:szCs w:val="16"/>
              </w:rPr>
              <w:t xml:space="preserve">  [transacciones_venta] 1---N [payment_transactions]</w:t>
            </w:r>
          </w:p>
          <w:p>
            <w:pPr>
              <w:spacing w:after="15" w:before="15"/>
            </w:pPr>
            <w:r>
              <w:rPr>
                <w:rFonts w:ascii="Consolas" w:cs="Consolas" w:eastAsia="Consolas" w:hAnsi="Consolas"/>
                <w:color w:val="0F172A"/>
                <w:sz w:val="16"/>
                <w:szCs w:val="16"/>
              </w:rPr>
              <w:t xml:space="preserve">  [transacciones_venta] 1---1 [dte_documentos]</w:t>
            </w:r>
          </w:p>
          <w:p>
            <w:pPr>
              <w:spacing w:after="15" w:before="15"/>
            </w:pPr>
            <w:r>
              <w:rPr>
                <w:rFonts w:ascii="Consolas" w:cs="Consolas" w:eastAsia="Consolas" w:hAnsi="Consolas"/>
                <w:color w:val="0F172A"/>
                <w:sz w:val="16"/>
                <w:szCs w:val="16"/>
              </w:rPr>
              <w:t xml:space="preserve">  [transacciones_venta] 1---1 [transacciones_venta (referencia_devolucion)]</w:t>
            </w:r>
          </w:p>
          <w:p>
            <w:pPr>
              <w:spacing w:after="15" w:before="15"/>
            </w:pPr>
            <w:r>
              <w:rPr>
                <w:rFonts w:ascii="Consolas" w:cs="Consolas" w:eastAsia="Consolas" w:hAnsi="Consolas"/>
                <w:color w:val="0F172A"/>
                <w:sz w:val="16"/>
                <w:szCs w:val="16"/>
              </w:rPr>
              <w:t xml:space="preserve"/>
            </w:r>
          </w:p>
          <w:p>
            <w:pPr>
              <w:spacing w:after="15" w:before="15"/>
            </w:pPr>
            <w:r>
              <w:rPr>
                <w:rFonts w:ascii="Consolas" w:cs="Consolas" w:eastAsia="Consolas" w:hAnsi="Consolas"/>
                <w:color w:val="0F172A"/>
                <w:sz w:val="16"/>
                <w:szCs w:val="16"/>
              </w:rPr>
              <w:t xml:space="preserve">  [sesiones_caja] 1---N [movimientos_caja_manual]</w:t>
            </w:r>
          </w:p>
        </w:tc>
      </w:tr>
    </w:tbl>
    <w:p>
      <w:pPr>
        <w:pStyle w:val="Heading2"/>
        <w:spacing w:after="100" w:before="300"/>
      </w:pPr>
      <w:r>
        <w:t xml:space="preserve">7.2. Diccionario de Tablas y Atributos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Tabla</w:t>
            </w:r>
          </w:p>
        </w:tc>
        <w:tc>
          <w:tcPr>
            <w:tcW w:type="pct" w:w="22%"/>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Claves (PK / FK)</w:t>
            </w:r>
          </w:p>
        </w:tc>
        <w:tc>
          <w:tcPr>
            <w:tcW w:type="pct" w:w="35%"/>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Campos y Tipos de Datos</w:t>
            </w:r>
          </w:p>
        </w:tc>
        <w:tc>
          <w:tcPr>
            <w:tcW w:type="pct" w:w="25%"/>
            <w:shd w:fill="0F172A" w:val="clear"/>
            <w:tcMar>
              <w:top w:type="dxa" w:w="120"/>
              <w:left w:type="dxa" w:w="150"/>
              <w:bottom w:type="dxa" w:w="120"/>
              <w:right w:type="dxa" w:w="150"/>
            </w:tcMar>
          </w:tcPr>
          <w:p>
            <w:pPr>
              <w:jc w:val="left"/>
            </w:pPr>
            <w:r>
              <w:rPr>
                <w:rFonts w:ascii="Calibri" w:cs="Calibri" w:eastAsia="Calibri" w:hAnsi="Calibri"/>
                <w:b/>
                <w:bCs/>
                <w:color w:val="FFFFFF"/>
                <w:sz w:val="20"/>
                <w:szCs w:val="20"/>
              </w:rPr>
              <w:t xml:space="preserve">Propósito / Rol</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tenants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id (UUID/TEXT), rut_empresa, razon_social, giro, direccion, comuna, acteco, created_at</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Inquilinos SaaS y datos tributarios de emisor.</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usuarios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nombre, email, password_hash, rol (ADMIN/CAJERO), activo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Operadores de caja y administradores.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proveedores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rut_proveedor, nombre_proveedores, dias_visita_proveedores, email, whatsapp_contacto, giro, direccion, telefono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Directorio y programación de visitas semanales.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productos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
FK: proveedor_id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sku, codigo_barra, nombre, stock_actual, stock_minimo, precio_compra, precio_venta, categoria, codigo_ila (26=18%, 27=20.5%, 28=31.5%), tasa_ila, lote, fecha_vencimiento, origen_creacion</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Catálogo de existencias, semáforo sanitario y tasas ILA.</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metodos_pago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nombre, pasarela (CHECK: EFECTIVO, TRANSBANK, MERCADOPAGO, SUMUP, RUTPAY, OTRO), activo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Catálogo de formas de pago disponibles.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transacciones_venta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
FK: usuario_id
FK: metodo_pago_id
FK: dte_id
FK: ref_venta_id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folio_local_sqlite, fecha, total, unidades, estado, rut_cliente, tipo_documento_tributario, dte_folio, monto_ila, es_devolucion, is_dirty, sync_status, last_synced_at</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Encabezado de ventas POS y flags de sincronización offline.</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detalle_venta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venta_id
FK: producto_id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cantidad, precio_unitario, subtotal</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Ítems vendidos en cada transacción.</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payment_transactions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sale_id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pasarela, transaction_token, monto, estado_transaccion, metadata_response, created_at</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Auditoría PCI-DSS de pasarelas electrónicas.</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dte_documentos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tipo_dte (33, 34, 39, 41, 52, 61), folio, fecha_emision, rut_emisor, rut_receptor, monto_neto, monto_iva, monto_total, xml_contenido, ted_timbre, sii_estado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Documentos tributarios electrónicos y timbres TED.</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dte_caf_folios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tipo_dte, rango_desde, rango_hasta, ultimo_folio_usado, caf_xml, llave_privada, activo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Custodia de folios autorizados por el SII.</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sesiones_caja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
FK: usuario_id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caja_numero, monto_apertura, monto_cierre_efectivo_declarado, monto_esperado_sistema, diferencia_cuadratura, total_ventas_efectivo, total_ventas_tarjeta, total_iva_debito, reporte_z_json</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Turnos de caja, arqueo ciego y Reporte Z.</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movimientos_caja_manual</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sesion_id
FK: usuario_id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tipo_movimiento (INGRESO/EGRESO), monto, motivo, fecha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Entradas o salidas manuales de efectivo en caja.</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factura_ingresos</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
FK: proveedor_id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numero_factura, fecha_ingreso, rut_proveedor, total, estado, json_ocr_raw, created_at</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Facturas de compras a proveedores por OCR.</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guias_despacho</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folio, tipo_despacho, tipo_traslado, rut_receptor, patente_vehiculo, rut_chofer, nombre_chofer, monto_total</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Guías de Despacho Electrónicas (DTE Tipo 52).</w:t>
            </w:r>
          </w:p>
        </w:tc>
      </w:tr>
      <w:tr>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configuraciones_sistema</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PK: id
FK: tenant_id</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clave (margen_ganancia_global, email_ordenes, auto_enviar, modelo_emision, etc.), valor, updated_at</w:t>
            </w:r>
          </w:p>
        </w:tc>
        <w:tc>
          <w:tcPr>
            <w:tcMar>
              <w:top w:type="dxa" w:w="120"/>
              <w:left w:type="dxa" w:w="150"/>
              <w:bottom w:type="dxa" w:w="120"/>
              <w:right w:type="dxa" w:w="150"/>
            </w:tcMar>
          </w:tcPr>
          <w:p>
            <w:pPr>
              <w:jc w:val="left"/>
            </w:pPr>
            <w:r>
              <w:rPr>
                <w:rFonts w:ascii="Calibri" w:cs="Calibri" w:eastAsia="Calibri" w:hAnsi="Calibri"/>
                <w:b w:val="false"/>
                <w:bCs w:val="false"/>
                <w:color w:val="1E293B"/>
                <w:sz w:val="18"/>
                <w:szCs w:val="18"/>
              </w:rPr>
              <w:t xml:space="preserve">Parámetros comerciales y de negocio.</w:t>
            </w:r>
          </w:p>
        </w:tc>
      </w:tr>
    </w:tbl>
    <w:p>
      <w:pPr>
        <w:pStyle w:val="Heading1"/>
        <w:spacing w:after="150" w:before="400"/>
      </w:pPr>
      <w:r>
        <w:t xml:space="preserve">8. Conclusión y Certificación del Sistema</w:t>
      </w:r>
    </w:p>
    <w:p>
      <w:pPr>
        <w:spacing w:after="60" w:before="60"/>
      </w:pPr>
      <w:r>
        <w:rPr>
          <w:rFonts w:ascii="Calibri" w:cs="Calibri" w:eastAsia="Calibri" w:hAnsi="Calibri"/>
          <w:color w:val="1E293B"/>
          <w:sz w:val="22"/>
          <w:szCs w:val="22"/>
        </w:rPr>
        <w:t xml:space="preserve">GesTock se encuentra 100% operativo, verificado y compilado sin errores técnicos ni advertencias. Cumple estrictamente con el marco legal comercial, sanitario y tributario vigente en la República de Chile, constituyendo una solución de estándar corporativo robusta, tolerante a fallos y lista para despliegue en entornos de producción minorista en todo el territorio nacional.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2026-09-11T19:23:55.122Z</dcterms:created>
  <dcterms:modified xsi:type="dcterms:W3CDTF">2026-09-11T19:23:55.123Z</dcterms:modified>
</cp:coreProperties>
</file>

<file path=docProps/custom.xml><?xml version="1.0" encoding="utf-8"?>
<Properties xmlns="http://schemas.openxmlformats.org/officeDocument/2006/custom-properties" xmlns:vt="http://schemas.openxmlformats.org/officeDocument/2006/docPropsVTypes"/>
</file>