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MANUAL DE FUNCIONALIDADES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Guia Operativa Integral de Modulos Comerciales, Normativa Tributaria y Algoritmos Inteligentes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Modulo de Punto de Venta (POS)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El terminal POS de GesTock esta optimizado para el despacho ultra-rapido en mostrador y alta rotacion: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Lectura Omnicanal: Admite lectores opticos de codigo de barras USB, balanzas comerciales y busqueda predictiva por SKU o descripcion.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Ley de Redondeo (Ley N° 20.956): En pagos en efectivo, el sistema calcula de forma obligatoria el redondeo legal a la decena mas proxima (terminaciones 1-4 hacia abajo, terminaciones 5-9 hacia arriba). En tarjetas o transferencias no aplica redondeo.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Precio Estandarizado de Bolsas Reutilizables: Conforme a la politica comercial y la regulacion ecologica chilena (Ley 21.100), las bolsas reutilizables estan tarificadas en exactamente $1.000 (mil pesos chilenos) de forma predeterminada en catalogo y reglas de facturacion.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Cobro Multimoneda y Pasarelas: Integracion certificada con terminales de tarjeta Transbank, SumUp, codigos QR MercadoPago y transferencia RutPay.</w:t>
      </w:r>
    </w:p>
    <w:p>
      <w:pPr>
        <w:pStyle w:val="Heading1"/>
        <w:spacing w:after="140" w:before="360"/>
      </w:pPr>
      <w:r>
        <w:t xml:space="preserve">2. Modulo de Facturacion Electronica DTE (Normativa SII)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GesTock opera como emisor electronico directo cumpliendo estrictamente con el estandar XML y criptografico del SII: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Tipos de Documento Soportados: Boleta Electronica Afecta (Tipo 39), Boleta Electronica Exenta (Tipo 41), Factura Electronica (Tipo 33), Guia de Despacho (Tipo 52) y Notas de Credito (Tipo 61).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Timbre Electronico DTE (TED): Firma digital automatica en XML mediante algoritmo RSA-SHA1 utilizando el codigo de autorizacion de folios (CAF) vigente.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Reporte Diario RCOF (Res. Ex. N° 176): Compilacion y transmision diaria de resumen de boletas emitidas hacia los servidores del SII.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Libro de Ventas y Resumen F29: Liquidacion automatica de debito fiscal IVA del 19% con soporte para declaraciones mensuales.</w:t>
      </w:r>
    </w:p>
    <w:p>
      <w:pPr>
        <w:pStyle w:val="Heading1"/>
        <w:spacing w:after="140" w:before="360"/>
      </w:pPr>
      <w:r>
        <w:t xml:space="preserve">3. Turnos y Arqueo de Caja (Balance Z)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Control estricto del flujo de efectivo para sucursales: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Apertura de Caja: Registro de operador, fecha y fondo inicial en efectivo.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Movimientos Manuales: Ingresos de sencillo y retiros de efectivo justificados.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Arqueo y Cierre Ciego: El cajero declara el efectivo real contado sin conocer el teorico del sistema, evitando discrepancias intencionadas. El sistema emite el reporte Z detallando ventas por metodo de pago y sobrantes o faltantes.</w:t>
      </w:r>
    </w:p>
    <w:p>
      <w:pPr>
        <w:pStyle w:val="Heading1"/>
        <w:spacing w:after="140" w:before="360"/>
      </w:pPr>
      <w:r>
        <w:t xml:space="preserve">4. Control de Inventario y Semaforo de Caducidades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Gestion integral de bodegas y control de calidad alimentaria: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Trazabilidad por Lote: Cada ingreso asocia lote y fecha de vencimiento.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Semaforo de Vencimientos: Alerta en verde (vigente), amarillo (vence en &lt;60 dias) y rojo (vence en &lt;30 dias o vencido), permitiendo liquidacion o devolucion a proveedor.</w:t>
      </w:r>
    </w:p>
    <w:p>
      <w:pPr>
        <w:pStyle w:val="Heading1"/>
        <w:spacing w:after="140" w:before="360"/>
      </w:pPr>
      <w:r>
        <w:t xml:space="preserve">5. Algoritmos Predictivos de Reabastecimiento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Velocidad Diaria de Venta (V): Promedio ponderado de consumo de las ultimas semanas.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Punto de Reorden (ROP): Determina el umbral critico de reposicion mediante la formula ROP = (Demanda_Diaria * Lead_Time) + Stock_Seguridad.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Ajuste por Bulto/Empaque: Redondeo automatico hacia arriba para satisfacer las unidades minimas de empaque del proveedor B2B.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Despacho Automatico de OC: Generacion de ordenes de compra en PDF y transmision directa por correo electronico hacia el proveedor.</w:t>
      </w:r>
    </w:p>
    <w:p>
      <w:pPr>
        <w:pStyle w:val="Heading1"/>
        <w:spacing w:after="140" w:before="360"/>
      </w:pPr>
      <w:r>
        <w:t xml:space="preserve">6. Ingesta Inteligente de Facturas de Proveedores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Procesamiento automatico de facturas recibidas en PDF o XML: extraccion de lineas de detalle, deteccion de nuevos costos netos, aplicacion del margen de ganancia configurado por el administrador y actualizacion automatica de los precios de venta.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2026-09-16T23:06:33.542Z</dcterms:created>
  <dcterms:modified xsi:type="dcterms:W3CDTF">2026-09-16T23:06:33.542Z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