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00"/>
        <w:jc w:val="center"/>
      </w:pPr>
      <w:r>
        <w:rPr>
          <w:rFonts w:ascii="Arial" w:cs="Arial" w:eastAsia="Arial" w:hAnsi="Arial"/>
          <w:b/>
          <w:bCs/>
          <w:color w:val="1E3A8A"/>
          <w:sz w:val="36"/>
          <w:szCs w:val="36"/>
        </w:rPr>
        <w:t xml:space="preserve">GESTOCK — DOCUMENTO DE ARQUITECTURA DE SOFTWARE (DAS)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64748B"/>
          <w:sz w:val="22"/>
          <w:szCs w:val="22"/>
        </w:rPr>
        <w:t xml:space="preserve">Sistema Inteligente de Gestión de Inventarios &amp; POS Offline-First
Proyecto Aplicado de Título (APT — PTY4614) | Duoc UC | Versión 2.2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pct" w:w="7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 Técnico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GesTock — Retail POS &amp; Inventory Intelligence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Asignatura / Grado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Proyecto Aplicado de Título (APT - PTY4614), Duoc UC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Líder de Proyecto / Arquitectura &amp; Backend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Marcelo Alejandro Pino Valverde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Frontend Developer / Diseñador UX-UI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David Miranda Tobar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Metodología de Desarrollo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RUP (Rational Unified Process) iterativa, evolutiva y guiada por riesgos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Estándar Arquitectónico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Modelo de Vistas 4+1 de Kruchten &amp; ISO/IEC 25010 (25 RNF)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Versión &amp;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Versión 2.2 — Edición Integral Definitiva (29 Tablas Relacionales)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1. Introducción y Objetivos del Sistema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presente documento define y formaliza la arquitectura de software de GesTock, detallando su estructura lógica, física, de datos y de procesos, así como la especificación exhaustiva de sus Requisitos Funcionales (RF) y los 25 Requisitos No Funcionales (RNF) bajo el estándar internacional ISO/IEC 25010. Constituye el artefacto central de ingeniería para la defensa de título y el desarrollo evolutivo del sistema.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GesTock implementa una arquitectura híbrida Dual-Core (Cloud SaaS Multi-Tenant + Edge POS Offline-First) que resuelve la pérdida de ventas por caídas de internet en el retail minorista, automatiza la ingesta de mercadería mediante Gemini OCR y asegura el apego estricto a la normativa chilena (SII DTEs, Ley de Redondeo 20.956 sólo para efectivo, y trazabilidad FEFO D.S. 977/96).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2. Requisitos Funcionales del Sistema (RF)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2.1 Módulo: Autenticación &amp; Control de Acceso (RBAC)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Login JWT Seguro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/auth/login. Retorna JWT (24h) y perfil. Error 401 unificado anti-enumeración. Sin password_hash. Frontend integrado y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Usuarios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 /auth/register y GET /auth/users. Asignación de rol (admin/cajero). Restringido a rol Admin bajo RBAC. Clave Bcrypt (salt 10, &gt;=8 chars). UNIQUE(tenant, email). Opera siempre sobre el tenant del token. Cambio de contraseña propia con PUT /auth/password.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Verif. Sesión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/auth/me. Valida cabecera Authorization: Bearer &lt;token&gt; para reanudación de sesión en recarga. Backend verificado.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Matriz de Roles RBAC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 accede a 6 vistas de mostrador. Admin accede a 11 vistas completas (Dashboard, OCR, SII, ROP, etc.).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Protección Perimetral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Middleware de autenticación para la API v1 (excepto login). Secure-by-default en producción (NODE_ENV=production salvo AUTH_DISABLED=true); configurable con ENFORCE_AUTH=true en dev. Rutas admin con 403 al cajero, salvo las DTE del comprobante de venta (GET /dte/config, /dte/list, /dte/:id/receipt, /dte/:id/xml y POST /dte/send-email).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2.2 Módulo: Punto de Venta (POS) &amp; Checkout de Mostrador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Instantánea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Lectura EAN-13 o texto con latencia &lt; 15 ms sobre el catálogo local SQLite.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Carrito Reactivo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Gestión de ítems, cantidades, descuentos autorizados e IVA (19%) en vivo.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Multi-Método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Pagos combinados (Efectivo, Débito, Crédito, QR, RutPay) en una sola venta.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Redondeo Ley 20.956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Aplica EXCLUSIVAMENTE a pagos en EFECTIVO (1-4 abajo, 5-9 arriba). Pagos electrónicos cobran monto exacto.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Boleta / Comprobante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Generación de ticket térmico fiscal con desglose, vuelto y código verificador.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Devoluciones / Anulaciones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/pos/devolucion con es_devolucion = 1, referencia_venta_id y emisión de Nota de Crédito DTE 61.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Registro de 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/pos/mermas atómico en tabla mermas y Kardex con motivo y usuario. Exportación a CSV.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Transacciones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Ventas de la sesión con campos es_devolucion, referencia_venta_id, producto_id y estado is_dirty.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2.3 Módulo: Control de Caja &amp; Arqueo 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de Turno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Apertura con fondo inicial de efectivo (sencillo), fecha/hora y cajero asignado.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RF-18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Arqueo Ciego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Declaración de efectivo por el cajero sin conocer el saldo acumulado en sistema.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Balance Z y RutPay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Cálculo de sobrantes/faltantes. RutPay separado en ventas_rutpay de la gaveta de efectivo físico.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Desglose Impuesto ILA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del impuesto adicional ILA acumulado en ventas de bebidas y licores del turno.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Historial de Cierres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Consulta de cierres históricos por fecha y cajero para auditoría contable.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Media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2.4 Módulo: Inventario, Kardex FEFO y Facturación DTE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RF-24/25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y Semáforo FEFO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Salida FEFO (D.S. 977/96 MINSAL) y alertas visuales: Rojo (&lt;7d), Amarillo (8-30d), Verde (&gt;30d).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Kardex Atómico (6 Tipos)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 estricto: venta, ingreso_factura, ajuste, alta_inicial, ajuste_manual, merma.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CRUD de Productos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Creación, edición y ajuste de stock encapsulados en transacciones withTransaction.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RF-31/33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DTEs y Timbre TED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Emisión Boleta 39/41, Factura 33/34 con folios CAF, firma RSA y código PDF417.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Reporte Diario RCOF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Consolidación y envío nocturno de boletas offline para el SII (Res. 74/2020).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2.5 Módulo: Ingesta OCR con IA (Gemini) &amp; Resiliencia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RF-39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Gemini OCR (gemini-3.5-flash)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Extracción estructurada en JSON con Google AI Studio. Timeout de escaneo de 60 segundos.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Reintentos con Backoff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Hasta 3 reintentos progresivos (1s, 2s) ante fallas transitorias 503/429 antes de pasar a fallback.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Nativo Local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Procesamiento de PDFs vectoriales con pdf-parse en 0.11 s sin necesidad de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Política Anti-Datos Ficticios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 hay API Key y fallan ambos motores reales, retorna HTTP 422. PROHIBIDO inventar facturas con mock.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Facturas Offline-First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Fotos sin texto digital se encolan en estado PENDIENTE_OCR para procesarse al volver internet.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Confirmación Atómica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/invoices/confirm soporta total_factura/total y garantiza persistido_local: true.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2.6 Módulo: Reabastecimiento ROP &amp; Operaciones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pct" w:w="3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Requisito Funcional</w:t>
            </w:r>
          </w:p>
        </w:tc>
        <w:tc>
          <w:tcPr>
            <w:tcW w:type="pct" w:w="4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Descripción y Reglas de Negocio</w:t>
            </w:r>
          </w:p>
        </w:tc>
        <w:tc>
          <w:tcPr>
            <w:tcW w:type="pct" w:w="12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Consulta Pura (GET)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 /replenishment/suggest calcula en memoria sin escribir en purchase_orders (idempotente).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ROP Persistencia (POST)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 /replenishment/suggest es el único que persiste formalmente las órdenes generadas.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Alta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RF-49/50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Pasarelas y PCI-DSS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Transbank, MP, SumUp, RutPay. Cumplimiento SAQ-A (cero almacenamiento de PAN, CVV, PIN).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334155"/>
                <w:sz w:val="19"/>
                <w:szCs w:val="19"/>
              </w:rPr>
              <w:t xml:space="preserve">RF-52/55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Sincronización Híbrida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Lotes is_dirty, reintentos con backoff y resolución de conflictos (aditividad + LWW).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DC2626"/>
                <w:sz w:val="19"/>
                <w:szCs w:val="19"/>
              </w:rPr>
              <w:t xml:space="preserve">Crítica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3. Los 25 Requisitos No Funcionales (RNF) — Estándar ISO/IEC 25010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A continuación se especifican los 25 requisitos no funcionales organizados en las 7 características de calidad de la norma ISO/IEC 25010: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3.1 Rendimiento y Eficiencia de Desempeño (5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RNF-REND-01 (Latencia de Checkout Local):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tiempo total de procesamiento de una venta en el POS (cálculo de IVA, redondeo legal en efectivo, escritura atómica en SQLite y descuento de stock) debe ser inferior a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RNF-REND-02 (Búsqueda por Código de Barras):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indexación B-Tree sobre codigo_barras en SQLite y PostgreSQL debe responder en menos de 10 ms para catálogos de hasta 50.000 SKUs.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RNF-REND-03 (Tiempo de Respuesta API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95% de las solicitudes RESTful a PostgreSQL en la nube deben resolverse en menos de 200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RNF-REND-04 (Emisión Criptográfica de DTE):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Generación de XML, firma digital RSA y renderizado de Timbre TED (PDF417) en menos de 400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RNF-REND-05 (Ventana de Timeout en Ingesta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Timeout extendido a 60 segundos para escaneo multimodal con Gemini AI.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3.2 Disponibilidad y Tolerancia a Fallos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RNF-DISP-01 (Continuidad Operativa Offline):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punto de venta debe mantener el 100% de operatividad comercial en caja sin red vía SQLite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RNF-DISP-02 (Conmutación Instantánea Circuit Breaker):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Conmutación automática a SQLite en 0 ms ante caídas de internet o timeouts (&gt;3000 ms), sin congelar la interfaz de usuario.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RNF-DISP-03 (Disponibilidad Cloud):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 infraestructura central en la nube debe alcanzar un 99.9% de uptime anual.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RNF-DISP-04 (Resiliencia de OCR):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Hasta 3 reintentos con backoff progresivo (1s, 2s) ante errores 503/429 en Gemini antes de activar fallback.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3.3 Seguridad y Confidencialidad (7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RNF-SEG-01 (Autenticación JWT &amp; RBAC): </w:t>
      </w:r>
      <w:r>
        <w:rPr>
          <w:rFonts w:ascii="Arial" w:cs="Arial" w:eastAsia="Arial" w:hAnsi="Arial"/>
          <w:color w:val="334155"/>
          <w:sz w:val="20"/>
          <w:szCs w:val="20"/>
        </w:rPr>
        <w:t>Tokens firmados (HS256, 24h), control de acceso por roles (cajero con 6 vistas vs admin con 11 vistas) implementado con jsonwebtoken. Política secure-by-default en producción (salvo AUTH_DISABLED=true) y configurable con ENFORCE_AUTH=true en dev. En producción el servidor no arranca si JWT_SECRET falta, es el valor de ejemplo o tiene menos de 32 caracteres (backend/src/config/auth.config.ts).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RNF-SEG-02 (Almacenamiento Seguro de Contraseñas y Parche Idempotente):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Cifrado de contraseñas mediante Bcrypt con work factor 10 (hashes de 60 caracteres reales). El procedimiento patchExistingDatabaseFixes() migra automáticamente bases de datos existentes a Bcrypt y normaliza RUT emisor a 76.123.456-0.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RNF-SEG-03 (Aislamiento Multi-Tenant Estricto): </w:t>
      </w:r>
      <w:r>
        <w:rPr>
          <w:rFonts w:ascii="Arial" w:cs="Arial" w:eastAsia="Arial" w:hAnsi="Arial"/>
          <w:color w:val="334155"/>
          <w:sz w:val="20"/>
          <w:szCs w:val="20"/>
        </w:rPr>
        <w:t>Cada registro debe estar asociado a un tenant_id validado por middleware criptográfico. Con sesión autenticada, rbacAuthMiddleware rechaza con HTTP 403 toda petición cuyo tenant declarado difiera del tenant del token; el usuario_id del body se reemplaza por el del usuario autenticado.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RNF-SEG-04 (Rate Limiting Granular con X-Device-ID e IPv6):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Limitación de tasa por terminal individual mediante cabecera X-Device-ID y normalización ipKeyGenerator.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RNF-SEG-05 (Cumplimiento PCI-DSS SAQ-A):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Cero almacenamiento de datos sensibles de tarjetas (PAN, CVV, PIN) en bases de datos locales o cloud.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RNF-SEG-06 (Prevención de Inyecciones SQL):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100% de consultas parametrizadas ($1, $2 en PostgreSQL; ?, ? en SQLite).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RNF-SEG-07 (Cabeceras de Seguridad y CORS):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 con CSP restrictivo y whitelist estricta de orígenes autorizados del frontend.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3.4 Confiabilidad y Consistencia de Datos (4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RNF-CONF-01 (Atomicidad Transaccional withTransaction):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Uso de transacciones ACID en todas las mutaciones complejas con reversión (ROLLBACK) total ante fallo.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RNF-CONF-02 (Integridad Referencial en SQLite):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Activación obligatoria de PRAGMA foreign_keys = ON al inicializar la base de datos local.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RNF-CONF-03 (Tolerancia Cero a Datos Ficticios):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Desactivación del mock OCR cuando hay API Key configurada para no contaminar inventario real.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RNF-CONF-04 (Kardex Estricto de 6 Tipos):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Restricción CHECK SQL que valida los 6 tipos autorizados de movimiento en historial_stock.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3.5 Usabilidad, Portabilidad y Mantenibilidad (11 RNF)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RNF-USAB-01 (Eficiencia de Operación en Caja):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Flujo de venta realizable en máximo 4 acciones del cajero.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RNF-USAB-02 (Accesibilidad Visual WCAG 2.1 AA):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Contraste cromático mínimo de 4.5:1 para texto normal.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RNF-USAB-03 (Diseño Adaptable):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fluido desde resoluciones de 1024x768 (pantallas POS) hasta Full HD y tablets táctiles.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RNF-USAB-04 (Manejo Amigable de Errores):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Mensajes en español orientados a la acción correctiva sin fugas de stack trace.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RNF-PORT-01 (Contenedores Docker):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Despliegue automatizado con Docker Compose en menos de 3 minutos.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RNF-PORT-02 (Compatibilidad Multiplataforma):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Soporte nativo en Windows 10/11, Ubuntu 22.04+ LTS y macOS.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RNF-PORT-03 (The Twelve-Factor App):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Inyección de credenciales y configuración externa vía variables .env.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RNF-MANT-01 (Tipado Estricto TypeScript):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Compilación bajo strict: true en el 100% del código fuente.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RNF-MANT-02 (Cobertura de Pruebas &gt; 85%): </w:t>
      </w:r>
      <w:r>
        <w:rPr>
          <w:rFonts w:ascii="Arial" w:cs="Arial" w:eastAsia="Arial" w:hAnsi="Arial"/>
          <w:color w:val="334155"/>
          <w:sz w:val="20"/>
          <w:szCs w:val="20"/>
        </w:rPr>
        <w:t>Validada mediante 253 pruebas automatizadas en Jest con 100% de éxito.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RNF-MANT-03 (Migraciones DDL 001-013): </w:t>
      </w:r>
      <w:r>
        <w:rPr>
          <w:rFonts w:ascii="Arial" w:cs="Arial" w:eastAsia="Arial" w:hAnsi="Arial"/>
          <w:color w:val="334155"/>
          <w:sz w:val="20"/>
          <w:szCs w:val="20"/>
        </w:rPr>
        <w:t>Scripts de evolución secuencial numerados y reproducibles.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RNF-MANT-04 (Arquitectura Modular):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Capas independientes con inversión de dependencias para desacoplar proveedores externos.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4. Vistas Arquitectónicas del Sistema (Modelo 4+1 de Kruchten)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4.1 Vista Lógica (Las 5 Capas del Software)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se organiza en 5 capas desacopladas con responsabilidades estrictas: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1. Capa de Presentación (Frontend React SPA):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Módulo Auth (Login/Registro), Vistas de Cajero (6 pantallas), Vistas de Admin (11 pantallas) y SesionStore en LocalStorage.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2. Capa de Seguridad &amp; Routing (Express Middleware):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Helmet, CORS restrictivo, Rate Limiters por X-Device-ID e IPv6, AuthMiddleware (JWT Bearer &amp; RBAC) y enrutadores modulares.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3. Capa de Servicios de Negocio (Domain Logic):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AuthService, POS Service, Cierre Caja Z, DTE Emitter, CAF Manager, OCR Ingestion Dispatcher, Payment Dispatcher, ROP Engine y Sync Engine.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4. Capa de Adaptadores Externos: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Clientes para Google Gemini AI (gemini-3.5-flash), Extractor local pdf-parse, SII Web Services, Transbank, Mercado Pago, SumUp y RutPay.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5. Capa de Persistencia Dual Transaccional: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PostgresClient (Cloud SaaS), SqliteClient (Edge Local con withTransaction) y Circuit Breaker con conmutación en 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4.2 Vista de Procesos (Process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Describe la concurrencia, resiliencia y flujos de ejecución críticos: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Checkout Offline con Circuit Breaker: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Venta recibida en POST /pos/checkout. Si PostgreSQL Cloud no responde en 3000 ms, el circuito se abre y persiste en SQLite en 0 ms con is_dirty = 1, retornando la boleta en &lt; 15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Sincronización Asíncrona con Backoff y Jitter: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El servicio pos-sync-engine sondea ventas sucias cada 30 segundos, empaqueta lotes de hasta 50 transacciones y las envía a POST /sync/push. Ante fallas de red, calcula el retraso exponencial con jitter para evitar tormentas de peticiones.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Ingesta OCR Resiliente: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POST /invoices/scan envía el documento a Gemini 3.5 Flash con timeout de 60s. Si falla por error transitorio (503/429), reintenta hasta 3 veces. Si falla de forma definitiva, conmuta al extractor PDF nativo (0.11s). Si no hay texto, se encola en PENDIENTE_OCR.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4.3 Vista de Datos: Inventario Oficial de las 29 Tablas Relacionales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El esquema de datos relacional de GesTock está conformado por 29 tablas relacionales activas auditadas en las migraciones: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Núcleo SaaS y Usuarios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tenants, usuarios, configuracion_sistema, planes_facturacion, historial_planes, notificaciones_tokens.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Inventario, Kardex y Proveedores (8):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productos, producto_proveedores, catalogo_borradores, historial_stock, movimientos_inventario, movimientos_inventario_tipos, mermas, proveedores.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Compras y Órdenes de Reposición (3):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purchase_orders, purchase_order_details, factura_ingresos.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Punto de Venta, Caja y Pagos (6):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cierres_caja, caja_movimientos, transacciones_venta, detalle_venta, metodos_pago, payment_transactions.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Facturación Fiscal DTE (4):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sii_caf, sii_dte_emitidos, sii_rcof_registros, guias_despacho.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Inteligencia de Mercado y Versionado DDL (2):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market_trends, _migrations (Control y trazabilidad de migraciones DDL ejecutadas).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4.4 Vista de Implementación / Componentes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Estructura modular en TypeScript organizada por módulos de dominio: routes/ (controladores REST), middleware/ (seguridad y rate limiting), domain services (servicios puros), database/ (clientes pg y sqlite) y utils/ (matemáticas y logging).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4.5 Vista de Despliegue (Deployment View)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Topología física distribuida: Estación local POS en el mostrador (PC con Node.js v20 e impresora térmica ESC/POS conectada a SQLite local) conectada mediante túnel HTTPS a la infraestructura Cloud (Docker Compose con API Express y PostgreSQL 16) y APIs externas (Google AI Studio, SII y pasarelas bancarias).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5. Modelos Matemáticos y Mecanismos de Ingeniería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5.1 Patrón Circuit Breaker (Tolerancia a Fallos 0 ms)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Supervisa la conexión a PostgreSQL Cloud operando en estados CLOSED (normal), OPEN (desvío a SQLite en 0 ms ante 3 fallos consecutivos o latencia &gt; 3000 ms) y HALF-OPEN (sonda de prueba tras 60 segundos de enfriamiento).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5.2 Algoritmo de Exponential Backoff con Full Jitter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Reintentos: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T_espera = min(T_max, T_base * 2^intentos) + random(0, Jitter)
Donde T_base = 1000 ms, T_max = 60000 ms, Jitter = 500 ms.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5.3 Ley de Redondeo en Efectivo (Ley N° 20.956)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Regla Estricta de Cobro: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Aplica únicamente si metodo_pago === "EFECTIVO":
- Si residuo entre 1 y 4 -&gt; Redondeo hacia abajo a la decena.
- Si residuo entre 5 y 9 -&gt; Redondeo hacia arriba a la decena.
En tarjetas, RutPay o QR -&gt; Cobro del monto exacto.</w:t>
      </w:r>
    </w:p>
    <w:p>
      <w:pPr>
        <w:pStyle w:val="Heading2"/>
        <w:spacing w:after="100" w:before="220"/>
      </w:pPr>
      <w:r>
        <w:rPr>
          <w:rFonts w:ascii="Arial" w:cs="Arial" w:eastAsia="Arial" w:hAnsi="Arial"/>
          <w:b/>
          <w:bCs/>
          <w:color w:val="0F172A"/>
          <w:sz w:val="24"/>
          <w:szCs w:val="24"/>
        </w:rPr>
        <w:t xml:space="preserve">5.4 Reorden Predictivo Idempotente (ROP)</w:t>
      </w:r>
    </w:p>
    <w:p>
      <w:pPr>
        <w:pBdr>
          <w:left w:val="single" w:color="2563EB" w:sz="24"/>
        </w:pBdr>
        <w:spacing w:after="140" w:before="100" w:line="260"/>
        <w:ind w:left="240" w:right="24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Fórmula de Stock ROP:
</w:t>
      </w:r>
      <w:r>
        <w:rPr>
          <w:rFonts w:ascii="Arial" w:cs="Arial" w:eastAsia="Arial" w:hAnsi="Arial"/>
          <w:i/>
          <w:iCs/>
          <w:color w:val="475569"/>
          <w:sz w:val="19"/>
          <w:szCs w:val="19"/>
        </w:rPr>
        <w:t xml:space="preserve">ROP = (V_d * L) + SS
Donde V_d es la velocidad diaria de venta, L el lead time del proveedor y SS el stock de seguridad.
GET /suggest es una función pura en memoria; POST /suggest es la que persiste.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>6. Catálogo de Endpoints y Matriz de Trazabilidad (72 Endpoints)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A continuación se resumen los 72 endpoints RESTful del sistema, indicando su rol de acceso mínimo: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Método</w:t>
            </w:r>
          </w:p>
        </w:tc>
        <w:tc>
          <w:tcPr>
            <w:tcW w:type="pct" w:w="4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URI Endpoint</w:t>
            </w:r>
          </w:p>
        </w:tc>
        <w:tc>
          <w:tcPr>
            <w:tcW w:type="pct" w:w="1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RF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Rol Mínimo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/api/v1/auth/login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RF-01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/api/v1/auth/register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/api/v1/auth/me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RF-03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/api/v1/auth/users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RF-02 [Obj. F2]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Auth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/api/v1/auth/password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RF-03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/api/v1/caja/abrir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/api/v1/caja/cerrar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RF-18, 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/api/v1/caja/historial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/api/v1/dte/emit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RF-31, 32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/api/v1/dte/:id/receipt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DTE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/api/v1/dte/rcof/generate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/api/v1/invoices/scan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RF-39, 40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/api/v1/invoices/confirm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RF-42, 44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/api/v1/invoices/process-pending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RF-43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Invoices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/api/v1/invoices/:id/document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/api/v1/pos/products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RF-26, 27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/api/v1/pos/checkout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RF-07, 08, 09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/api/v1/pos/mermas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RF-13,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/api/v1/pos/devolucion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RF-12, 26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Replenish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/api/v1/replenishment/suggest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RF-46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Sync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/api/v1/sync/push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RF-53, 54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Cajero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GET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/health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RF-57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Público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7. Estrategia de Pruebas y Aseguramiento de Calidad (QA)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>La confiabilidad de GesTock está respaldada por una batería automatizada en Jest con 253 pruebas ejecutadas con un 100% de éxito (242 de backend y 11 de frontend, complementadas con 81 verificaciones E2E).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Operación Crítica</w:t>
            </w:r>
          </w:p>
        </w:tc>
        <w:tc>
          <w:tcPr>
            <w:tcW w:type="pct" w:w="25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Entorno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Latencia Media</w:t>
            </w:r>
          </w:p>
        </w:tc>
        <w:tc>
          <w:tcPr>
            <w:tcW w:type="pct" w:w="2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Búsqueda EAN-13 (50.000 SKUs)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4.2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Checkout Completo de Venta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SQLite Edge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11.8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15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Conmutación por Caída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Circuit Breaker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0.0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Instantáneo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Extractor Local PDF Fallback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pdf-parse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110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300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Firma Digital TED (PDF417)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Motor Criptográfico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210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400 ms) ✅</w:t>
            </w:r>
          </w:p>
        </w:tc>
      </w:tr>
      <w:t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Ingesta Transaccional Lote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PostgreSQL Cloud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 w:val="false"/>
                <w:bCs w:val="false"/>
                <w:color w:val="334155"/>
                <w:sz w:val="19"/>
                <w:szCs w:val="19"/>
              </w:rPr>
              <w:t xml:space="preserve">84 ms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</w:pPr>
            <w:r>
              <w:rPr>
                <w:rFonts w:ascii="Arial" w:cs="Arial" w:eastAsia="Arial" w:hAnsi="Arial"/>
                <w:b/>
                <w:bCs/>
                <w:color w:val="16A34A"/>
                <w:sz w:val="19"/>
                <w:szCs w:val="19"/>
              </w:rPr>
              <w:t xml:space="preserve">Cumple (&lt; 200 ms) ✅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E3A8A"/>
          <w:sz w:val="28"/>
          <w:szCs w:val="28"/>
        </w:rPr>
        <w:t xml:space="preserve">8. Conclusiones y Cumplimiento de Metas</w:t>
      </w:r>
    </w:p>
    <w:p>
      <w:pPr>
        <w:spacing w:after="120" w:line="276"/>
      </w:pPr>
      <w:r>
        <w:rPr>
          <w:rFonts w:ascii="Arial" w:cs="Arial" w:eastAsia="Arial" w:hAnsi="Arial"/>
          <w:color w:val="334155"/>
          <w:sz w:val="20"/>
          <w:szCs w:val="20"/>
        </w:rPr>
        <w:t xml:space="preserve">La arquitectura de GesTock versión 2.2 restituye íntegramente la totalidad de las dimensiones de diseño de software y cumple con la más alta rigurosidad académica y profesional: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Disponibilidad Total Offline-First: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Ningún comercio detiene sus ventas por intermitencias de red gracias al motor SQLite embebido y conmutación en 0 ms.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Modelo de Vistas 4+1 Exhaustivo: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Las 5 vistas de Kruchten articuladas con el modelo de datos relacional de 29 tablas.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Apego Normativo Chileno Integral: </w:t>
      </w:r>
      <w:r>
        <w:rPr>
          <w:rFonts w:ascii="Arial" w:cs="Arial" w:eastAsia="Arial" w:hAnsi="Arial"/>
          <w:color w:val="334155"/>
          <w:sz w:val="20"/>
          <w:szCs w:val="20"/>
        </w:rPr>
        <w:t xml:space="preserve">Cumplimiento simultáneo del SII (DTE, TED, RCOF), Ley N° 20.956 (redondeo sólo en efectivo), Ley N° 21.100 (bolsas) y control FEFO sanitario.</w:t>
      </w:r>
    </w:p>
    <w:p>
      <w:pPr>
        <w:spacing w:after="80" w:line="260"/>
        <w:ind w:left="360"/>
      </w:pPr>
      <w:r>
        <w:rPr>
          <w:rFonts w:ascii="Arial" w:cs="Arial" w:eastAsia="Arial" w:hAnsi="Arial"/>
          <w:b/>
          <w:bCs/>
          <w:color w:val="1E3A8A"/>
          <w:sz w:val="20"/>
          <w:szCs w:val="20"/>
        </w:rPr>
        <w:t xml:space="preserve">• Excelencia de Ingeniería: </w:t>
      </w:r>
      <w:r>
        <w:rPr>
          <w:rFonts w:ascii="Arial" w:cs="Arial" w:eastAsia="Arial" w:hAnsi="Arial"/>
          <w:color w:val="334155"/>
          <w:sz w:val="20"/>
          <w:szCs w:val="20"/>
        </w:rPr>
        <w:t>Desarrollo en TypeScript estricto, 253 pruebas automatizadas y arquitectura Cloud-Native con Docker Compose.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2026-10-07T23:53:46.006Z</dcterms:created>
  <dcterms:modified xsi:type="dcterms:W3CDTF">2026-10-07T23:53:46.007Z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