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80"/>
        <w:jc w:val="center"/>
      </w:pPr>
      <w:r>
        <w:rPr>
          <w:rFonts w:ascii="Calibri" w:cs="Calibri" w:eastAsia="Calibri" w:hAnsi="Calibri"/>
          <w:b/>
          <w:bCs/>
          <w:color w:val="1E3A8A"/>
          <w:sz w:val="36"/>
          <w:szCs w:val="36"/>
        </w:rPr>
        <w:t xml:space="preserve">GESTOCK RETAIL &amp; SaaS CLOUD</w:t>
      </w:r>
    </w:p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olor w:val="0284C7"/>
          <w:sz w:val="28"/>
          <w:szCs w:val="28"/>
        </w:rPr>
        <w:t xml:space="preserve">GUIA DE DESPLIEGUE Y OPERACIONES</w:t>
      </w:r>
    </w:p>
    <w:p>
      <w:pPr>
        <w:spacing w:after="120" w:before="0"/>
        <w:jc w:val="center"/>
      </w:pPr>
      <w:r>
        <w:rPr>
          <w:rFonts w:ascii="Calibri" w:cs="Calibri" w:eastAsia="Calibri" w:hAnsi="Calibri"/>
          <w:i/>
          <w:iCs/>
          <w:color w:val="64748B"/>
          <w:sz w:val="21"/>
          <w:szCs w:val="21"/>
        </w:rPr>
        <w:t xml:space="preserve">Manual de Instalacion, Configuracion de Produccion, Variables de Entorno y Verificacion de Pruebas</w:t>
      </w:r>
    </w:p>
    <w:p>
      <w:pPr>
        <w:spacing w:after="260" w:before="0"/>
        <w:jc w:val="center"/>
      </w:pPr>
      <w:r>
        <w:rPr>
          <w:rFonts w:ascii="Calibri" w:cs="Calibri" w:eastAsia="Calibri" w:hAnsi="Calibri"/>
          <w:color w:val="64748B"/>
          <w:sz w:val="18"/>
          <w:szCs w:val="18"/>
        </w:rPr>
        <w:t xml:space="preserve">Version: 2.2.0 | Fecha: Septiembre 2026 | Estado: Produccion y Certificacion</w:t>
      </w:r>
    </w:p>
    <w:p>
      <w:pPr>
        <w:pStyle w:val="Heading1"/>
        <w:spacing w:after="140" w:before="360"/>
      </w:pPr>
      <w:r>
        <w:t xml:space="preserve">1. Requisitos del Entorno de Ejecucion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Sistema Operativo: Linux (Ubuntu 22.04 LTS / Debian 12) para Cloud; Windows 10/11 Pro o POSReady para terminales de caja locales.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Node.js: Version 20.x LTS o superior.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Base de Datos Nube: PostgreSQL 16 con extensiones uuid-ossp.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Base de Datos Local: Motor SQLite 3 incorporado mediante sqlite3 compilado nativamente.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Memoria RAM: Minimo 2 GB en terminales de caja; 4 GB o superior en servidores de aplicacion.</w:t>
      </w:r>
    </w:p>
    <w:p>
      <w:pPr>
        <w:pStyle w:val="Heading1"/>
        <w:spacing w:after="140" w:before="360"/>
      </w:pPr>
      <w:r>
        <w:t xml:space="preserve">2. Procedimiento de Instalacion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1. Clonar el repositorio del proyecto en el servidor o estacion de trabajo: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git clone &lt;url-del-repositorio&gt; &amp;&amp; cd GesTock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2. Instalar dependencias del proyecto: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npm install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3. Configurar el archivo de variables de entorno (.env) a partir del modelo provisto.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4. Ejecutar las migraciones estructurales de base de datos: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npm run migrate:pg      (Aplica el esquema y constraints en PostgreSQL Cloud)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npm run migrate:sqlite  (Inicializa el espejo relacional local en SQLite)</w:t>
      </w:r>
    </w:p>
    <w:p>
      <w:pPr>
        <w:pStyle w:val="Heading1"/>
        <w:spacing w:after="140" w:before="360"/>
      </w:pPr>
      <w:r>
        <w:t xml:space="preserve">3. Diccionario de Variables de Entorno (.env)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28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Variable</w:t>
            </w:r>
          </w:p>
        </w:tc>
        <w:tc>
          <w:tcPr>
            <w:tcW w:type="pct" w:w="32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Valor por Defecto / Ejemplo</w:t>
            </w:r>
          </w:p>
        </w:tc>
        <w:tc>
          <w:tcPr>
            <w:tcW w:type="pct" w:w="40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Descripcion Operativa y Seguridad</w:t>
            </w:r>
          </w:p>
        </w:tc>
      </w:tr>
      <w:tr>
        <w:tc>
          <w:tcPr>
            <w:tcW w:type="pct" w:w="2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PORT</w:t>
            </w:r>
          </w:p>
        </w:tc>
        <w:tc>
          <w:tcPr>
            <w:tcW w:type="pct" w:w="3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3000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Puerto TCP de escucha de la API</w:t>
            </w:r>
          </w:p>
        </w:tc>
      </w:tr>
      <w:tr>
        <w:tc>
          <w:tcPr>
            <w:tcW w:type="pct" w:w="2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NODE_ENV</w:t>
            </w:r>
          </w:p>
        </w:tc>
        <w:tc>
          <w:tcPr>
            <w:tcW w:type="pct" w:w="3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production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Modo de ejecucion; activa sanitizacion de errores</w:t>
            </w:r>
          </w:p>
        </w:tc>
      </w:tr>
      <w:tr>
        <w:tc>
          <w:tcPr>
            <w:tcW w:type="pct" w:w="2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DATABASE_URL</w:t>
            </w:r>
          </w:p>
        </w:tc>
        <w:tc>
          <w:tcPr>
            <w:tcW w:type="pct" w:w="3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postgresql://user:pass@host:5432/gestock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Cadena de conexion segura hacia PostgreSQL Cloud</w:t>
            </w:r>
          </w:p>
        </w:tc>
      </w:tr>
      <w:tr>
        <w:tc>
          <w:tcPr>
            <w:tcW w:type="pct" w:w="2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SQLITE_DB_PATH</w:t>
            </w:r>
          </w:p>
        </w:tc>
        <w:tc>
          <w:tcPr>
            <w:tcW w:type="pct" w:w="3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./gestock_local.db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Ruta absoluta o relativa del archivo de base local</w:t>
            </w:r>
          </w:p>
        </w:tc>
      </w:tr>
      <w:tr>
        <w:tc>
          <w:tcPr>
            <w:tcW w:type="pct" w:w="2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CORS_ALLOWED_ORIGINS</w:t>
            </w:r>
          </w:p>
        </w:tc>
        <w:tc>
          <w:tcPr>
            <w:tcW w:type="pct" w:w="3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http://localhost:5173,https://pos.gestock.cl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Lista blanca separada por comas de origenes permitidos</w:t>
            </w:r>
          </w:p>
        </w:tc>
      </w:tr>
      <w:tr>
        <w:tc>
          <w:tcPr>
            <w:tcW w:type="pct" w:w="2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API_KEY</w:t>
            </w:r>
          </w:p>
        </w:tc>
        <w:tc>
          <w:tcPr>
            <w:tcW w:type="pct" w:w="3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gestock_sec_key_2026_x89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Token maestro para endpoints externos y webhooks</w:t>
            </w:r>
          </w:p>
        </w:tc>
      </w:tr>
      <w:tr>
        <w:tc>
          <w:tcPr>
            <w:tcW w:type="pct" w:w="2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DTE_CERTIFICATE_PATH</w:t>
            </w:r>
          </w:p>
        </w:tc>
        <w:tc>
          <w:tcPr>
            <w:tcW w:type="pct" w:w="3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/certs/empresa_cert.pfx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Ruta del certificado digital tributario para firma DTE</w:t>
            </w:r>
          </w:p>
        </w:tc>
      </w:tr>
      <w:tr>
        <w:tc>
          <w:tcPr>
            <w:tcW w:type="pct" w:w="2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DTE_CERTIFICATE_PASS</w:t>
            </w:r>
          </w:p>
        </w:tc>
        <w:tc>
          <w:tcPr>
            <w:tcW w:type="pct" w:w="3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ContrasenaSeguraPFX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Clave de apertura del certificado criptografico</w:t>
            </w:r>
          </w:p>
        </w:tc>
      </w:tr>
    </w:tbl>
    <w:p>
      <w:pPr>
        <w:pStyle w:val="Heading1"/>
        <w:spacing w:after="140" w:before="360"/>
      </w:pPr>
      <w:r>
        <w:t xml:space="preserve">4. Ejecucion y Verificacion de Pruebas Automatizadas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Antes de autorizar el pase a produccion, el equipo de operaciones debe ejecutar y verificar las dos suites de pruebas del sistema: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>npm run test:unit : Ejecuta la bateria exclusiva de 172 pruebas unitarias (72 del catalogo de endpoints + 69 modulos de seguridad, leyes de redondeo, algoritmos de inventario y criptografia). Debe arrojar 100% de tests aprobados.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>npm test : Ejecuta las 81 pruebas de integracion extremo a extremo con simulacion de hardware y pasarelas.</w:t>
      </w:r>
    </w:p>
    <w:p>
      <w:pPr>
        <w:pStyle w:val="Heading1"/>
        <w:spacing w:after="140" w:before="360"/>
      </w:pPr>
      <w:r>
        <w:t xml:space="preserve">5. Despliegue con Administrador de Procesos (PM2)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Para entornos de produccion, se recomienda desplegar el backend mediante PM2 para recuperacion automatica ante fallos de servidor: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npm run build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pm2 start dist/backend/src/index.js --name "gestock-backend" -i max --env production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pm2 save &amp;&amp; pm2 startup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2026-09-16T23:36:58.253Z</dcterms:created>
  <dcterms:modified xsi:type="dcterms:W3CDTF">2026-09-16T23:36:58.253Z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