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color w:val="1E3A8A"/>
          <w:sz w:val="36"/>
          <w:szCs w:val="36"/>
        </w:rPr>
        <w:t xml:space="preserve">GESTOCK — DOCUMENTO DE ARQUITECTURA DE SOFTWARE (DAS)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64748B"/>
          <w:sz w:val="22"/>
          <w:szCs w:val="22"/>
        </w:rPr>
        <w:t xml:space="preserve">Sistema Inteligente de Gestión de Inventarios &amp; POS Offline-First
Proyecto Aplicado de Título (APT — PTY4614) | Duoc UC | Versión 2.2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Técnico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Proyecto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GesTock — Retail POS &amp; Inventory Intelligence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Asignatura / Grado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Proyecto Aplicado de Título (APT - PTY4614), Duoc UC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Líder de Proyecto / Arquitectura &amp; Backend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Marcelo Alejandro Pino Valverde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Frontend Developer / Diseñador UX-UI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David Miranda Tobar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Metodología de Desarrollo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RUP (Rational Unified Process) iterativa, evolutiva y guiada por riesgos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Estándar Arquitectónico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Modelo de Vistas 4+1 de Kruchten &amp; ISO/IEC 25010 (25 RNF)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Versión &amp; Estado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Versión 2.2 — Edición Integral Definitiva (29 Tablas Relacionales)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1. Introducción y Objetivos del Sistema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presente documento define y formaliza la arquitectura de software de GesTock, detallando su estructura lógica, física, de datos y de procesos, así como la especificación exhaustiva de sus Requisitos Funcionales (RF) y los 25 Requisitos No Funcionales (RNF) bajo el estándar internacional ISO/IEC 25010. Constituye el artefacto central de ingeniería para la defensa de título y el desarrollo evolutivo del sistema.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GesTock implementa una arquitectura híbrida Dual-Core (Cloud SaaS Multi-Tenant + Edge POS Offline-First) que resuelve la pérdida de ventas por caídas de internet en el retail minorista, automatiza la ingesta de mercadería mediante Gemini OCR y asegura el apego estricto a la normativa chilena (SII DTEs, Ley de Redondeo 20.956 sólo para efectivo, y trazabilidad FEFO D.S. 977/96).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2. Requisitos Funcionales del Sistema (RF)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2.1 Módulo: Autenticación &amp; Control de Acceso (RBAC)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Login JWT Seguro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/auth/login. Retorna JWT (24h) y perfil. Error 401 unificado anti-enumeración. Sin password_hash. Frontend integrado y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Usuarios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POST /auth/register y GET /auth/users. Asignación de rol (admin/cajero). Restringido a rol Admin bajo RBAC. Clave Bcrypt (salt 10, &gt;=8 chars). UNIQUE(tenant, email). Opera siempre sobre el tenant del token. Cambio de contraseña propia con PUT /auth/password.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Verif. Sesión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/auth/me. Valida cabecera Authorization: Bearer &lt;token&gt; para reanudación de sesión en recarga.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Matriz de Roles RBAC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 accede a 6 vistas de mostrador. Admin accede a 11 vistas completas (Dashboard, OCR, SII, ROP, etc.).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Protección Perimetral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Middleware de autenticación para la API v1 (excepto login). Secure-by-default en producción (NODE_ENV=production salvo AUTH_DISABLED=true); configurable con ENFORCE_AUTH=true en dev. Rutas admin con 403 al cajero, salvo las DTE del comprobante de venta (GET /dte/config, /dte/list, /dte/:id/receipt, /dte/:id/xml y POST /dte/send-email).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2.2 Módulo: Punto de Venta (POS) &amp; Checkout de Mostrador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Instantánea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Lectura EAN-13 o texto con latencia &lt; 15 ms sobre el catálogo local SQLite.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Carrito Reactivo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Gestión de ítems, cantidades, descuentos autorizados e IVA (19%) en vivo.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Multi-Método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Pagos combinados (Efectivo, Débito, Crédito, QR, RutPay) en una sola venta.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Redondeo Ley 20.956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Aplica EXCLUSIVAMENTE a pagos en EFECTIVO (1-4 abajo, 5-9 arriba). Pagos electrónicos cobran monto exacto.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Boleta / Comprobante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Generación de ticket térmico fiscal con desglose, vuelto y código verificador.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Devoluciones / Anulaciones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/pos/devolucion con es_devolucion = 1, referencia_venta_id y emisión de Nota de Crédito DTE 61.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/pos/mermas atómico en tabla mermas y Kardex con motivo y usuario. Exportación a CSV.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Transacciones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Ventas de la sesión con campos es_devolucion, referencia_venta_id, producto_id y estado is_dirty.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2.3 Módulo: Control de Caja &amp; Arqueo 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de Turno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con fondo inicial de efectivo (sencillo), fecha/hora y cajero asignado.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Arqueo Ciego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Declaración de efectivo por el cajero sin conocer el saldo acumulado en sistema.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Balance Z y RutPay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Cálculo de sobrantes/faltantes. RutPay separado en ventas_rutpay de la gaveta de efectivo físico.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Desglose Impuesto ILA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del impuesto adicional ILA acumulado en ventas de bebidas y licores del turno.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Cierres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Consulta de cierres históricos por fecha y cajero para auditoría contable.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2.4 Módulo: Inventario, Kardex FEFO y Facturación DTE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RF-24/25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y Semáforo FEFO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Salida FEFO (D.S. 977/96 MINSAL) y alertas visuales: Rojo (&lt;7d), Amarillo (8-30d), Verde (&gt;30d).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Kardex Atómico (6 Tipos)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 estricto: venta, ingreso_factura, ajuste, alta_inicial, ajuste_manual, merma.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CRUD de Productos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Creación, edición y ajuste de stock encapsulados en transacciones withTransaction.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RF-31/33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DTEs y Timbre TED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Emisión Boleta 39/41, Factura 33/34 con folios CAF, firma RSA y código PDF417.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Diario RCOF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Consolidación y envío nocturno de boletas offline para el SII (Res. 74/2020).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2.5 Módulo: Ingesta OCR con IA (Gemini) &amp; Resiliencia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Gemini OCR (gemini-3.5-flash)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Extracción estructurada en JSON con Google AI Studio. Timeout de escaneo de 60 segundos.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Reintentos con Backoff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Hasta 3 reintentos progresivos (1s, 2s) ante fallas transitorias 503/429 antes de pasar a fallback.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Nativo Local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Procesamiento de PDFs vectoriales con pdf-parse en 0.11 s sin necesidad de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Política Anti-Datos Ficticios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 hay API Key y fallan ambos motores reales, retorna HTTP 422. PROHIBIDO inventar facturas con mock.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Facturas Offline-First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Fotos sin texto digital se encolan en estado PENDIENTE_OCR para procesarse al volver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Confirmación Atómica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/invoices/confirm soporta total_factura/total y garantiza persistido_local: true.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2.6 Módulo: Reabastecimiento ROP &amp; Operaciones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Consulta Pura (GET)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/replenishment/suggest calcula en memoria sin escribir en purchase_orders (idempotente).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Persistencia (POST)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/replenishment/suggest es el único que persiste formalmente las órdenes generadas.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RF-49/50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Pasarelas y PCI-DSS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Transbank, MP, SumUp, RutPay. Cumplimiento SAQ-A (cero almacenamiento de PAN, CVV, PIN).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RF-52/55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Sincronización Híbrida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is_dirty, reintentos con backoff y resolución de conflictos (aditividad + LWW).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3. Los 25 Requisitos No Funcionales (RNF) — Estándar ISO/IEC 25010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 continuación se especifican los 25 requisitos no funcionales organizados en las 7 características de calidad de la norma ISO/IEC 25010: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3.1 Rendimiento y Eficiencia de Desempeño (5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RNF-REND-01 (Latencia de Checkout Local):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tiempo total de procesamiento de una venta en el POS (cálculo de IVA, redondeo legal en efectivo, escritura atómica en SQLite y descuento de stock) debe ser inferior a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RNF-REND-02 (Búsqueda por Código de Barras):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indexación B-Tree sobre codigo_barras en SQLite y PostgreSQL debe responder en menos de 10 ms para catálogos de hasta 50.000 SKUs.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RNF-REND-03 (Tiempo de Respuesta API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95% de las solicitudes RESTful a PostgreSQL en la nube deben resolverse en menos de 200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RNF-REND-04 (Emisión Criptográfica de DTE):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Generación de XML, firma digital RSA y renderizado de Timbre TED (PDF417) en menos de 400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RNF-REND-05 (Ventana de Timeout en Ingesta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Timeout extendido a 60 segundos para escaneo multimodal con Gemini AI.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3.2 Disponibilidad y Tolerancia a Fallos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RNF-DISP-01 (Continuidad Operativa Offline):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punto de venta debe mantener el 100% de operatividad comercial en caja sin red vía SQLite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RNF-DISP-02 (Conmutación Instantánea Circuit Breaker):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Conmutación automática a SQLite en 0 ms ante caídas de internet o timeouts (&gt;3000 ms), sin congelar la interfaz de usuario.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RNF-DISP-03 (Disponibilidad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infraestructura central en la nube debe alcanzar un 99.9% de uptime anual.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RNF-DISP-04 (Resiliencia de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Hasta 3 reintentos con backoff progresivo (1s, 2s) ante errores 503/429 en Gemini antes de activar fallback.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3.3 Seguridad y Confidencialidad (7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RNF-SEG-01 (Autenticación JWT &amp; RBAC): </w:t>
      </w:r>
      <w:r>
        <w:rPr>
          <w:rFonts w:ascii="Arial" w:cs="Arial" w:eastAsia="Arial" w:hAnsi="Arial"/>
          <w:color w:val="334155"/>
          <w:sz w:val="20"/>
          <w:szCs w:val="20"/>
        </w:rPr>
        <w:t>Tokens firmados (HS256, 24h), control de acceso por roles (cajero con 6 vistas vs admin con 11 vistas) implementado con jsonwebtoken. Política secure-by-default en producción (salvo AUTH_DISABLED=true) y configurable con ENFORCE_AUTH=true en dev. En producción el servidor no arranca si JWT_SECRET falta, es el valor de ejemplo o tiene menos de 32 caracteres (backend/src/config/auth.config.ts).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RNF-SEG-02 (Almacenamiento Seguro de Contraseñas y Parche Idempotente):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Cifrado de contraseñas mediante Bcrypt con work factor 10 (hashes de 60 caracteres reales). El procedimiento patchExistingDatabaseFixes() migra automáticamente bases de datos existentes a Bcrypt y normaliza RUT emisor a 76.123.456-0.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RNF-SEG-03 (Aislamiento Multi-Tenant Estricto): </w:t>
      </w:r>
      <w:r>
        <w:rPr>
          <w:rFonts w:ascii="Arial" w:cs="Arial" w:eastAsia="Arial" w:hAnsi="Arial"/>
          <w:color w:val="334155"/>
          <w:sz w:val="20"/>
          <w:szCs w:val="20"/>
        </w:rPr>
        <w:t>Cada registro debe estar asociado a un tenant_id validado por middleware criptográfico. Con sesión autenticada, rbacAuthMiddleware rechaza con HTTP 403 toda petición cuyo tenant declarado difiera del tenant del token; el usuario_id del body se reemplaza por el del usuario autenticado.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RNF-SEG-04 (Rate Limiting Granular con X-Device-ID e IPv6):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Limitación de tasa por terminal individual mediante cabecera X-Device-ID y normalización ipKeyGenerator.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RNF-SEG-05 (Cumplimiento PCI-DSS SAQ-A):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Cero almacenamiento de datos sensibles de tarjetas (PAN, CVV, PIN) en bases de datos locales o cloud.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RNF-SEG-06 (Prevención de Inyecciones SQL):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100% de consultas parametrizadas ($1, $2 en PostgreSQL; ?, ? en SQLite).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RNF-SEG-07 (Cabeceras de Seguridad y CORS):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 con CSP restrictivo y whitelist estricta de orígenes autorizados del frontend.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3.4 Confiabilidad y Consistencia de Datos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RNF-CONF-01 (Atomicidad Transaccional withTransaction):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Uso de transacciones ACID en todas las mutaciones complejas con reversión (ROLLBACK) total ante fallo.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RNF-CONF-02 (Integridad Referencial en SQLite):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Activación obligatoria de PRAGMA foreign_keys = ON al inicializar la base de datos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RNF-CONF-03 (Tolerancia Cero a Datos Ficticios):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Desactivación del mock OCR cuando hay API Key configurada para no contaminar inventario real.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RNF-CONF-04 (Kardex Estricto de 6 Tipos):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Restricción CHECK SQL que valida los 6 tipos autorizados de movimiento en historial_stock.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3.5 Usabilidad, Portabilidad y Mantenibilidad (11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RNF-USAB-01 (Eficiencia de Operación en Caja):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Flujo de venta realizable en máximo 4 acciones del cajero.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RNF-USAB-02 (Accesibilidad Visual WCAG 2.1 AA):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Contraste cromático mínimo de 4.5:1 para texto normal.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RNF-USAB-03 (Diseño Adaptable):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fluido desde resoluciones de 1024x768 (pantallas POS) hasta Full HD y tablets táctiles.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RNF-USAB-04 (Manejo Amigable de Errores):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Mensajes en español orientados a la acción correctiva sin fugas de stack trace.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RNF-PORT-01 (Contenedores Docker):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Despliegue automatizado con Docker Compose en menos de 3 minutos.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RNF-PORT-02 (Compatibilidad Multiplataforma):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nativo en Windows 10/11, Ubuntu 22.04+ LTS y macOS.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RNF-PORT-03 (The Twelve-Factor App):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Inyección de credenciales y configuración externa vía variables .env.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RNF-MANT-01 (Tipado Estricto TypeScript):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Compilación bajo strict: true en el 100% del código fuente.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>• RNF-MANT-02 (Cobertura de Pruebas &gt; 85% en la lógica de negocio): Medida con `npm run test:coverage:total`, que ejecuta las dos baterías sobre el código del servidor: 78,71% de las sentencias y 87,96% de las funciones en el total, y por encima del 85% en los módulos de reglas de negocio (tributario 91,8%, facturas 92,4%, reabastecimiento 87,8%, caja 85,6%). Los valores más bajos corresponden a la integración con el servicio externo de reconocimiento (45,7%) y a las rutas (71,4%), estas últimas ejercitadas además por las 109 comprobaciones de extremo a extremo. 297 pruebas automatizadas con 100% de éxito.</w:t>
      </w:r>
      <w:r>
        <w:rPr>
          <w:rFonts w:ascii="Arial" w:cs="Arial" w:eastAsia="Arial" w:hAnsi="Arial"/>
          <w:color w:val="334155"/>
          <w:sz w:val="20"/>
          <w:szCs w:val="20"/>
        </w:rPr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RNF-MANT-03 (Migraciones DDL 001-017): </w:t>
      </w:r>
      <w:r>
        <w:rPr>
          <w:rFonts w:ascii="Arial" w:cs="Arial" w:eastAsia="Arial" w:hAnsi="Arial"/>
          <w:color w:val="334155"/>
          <w:sz w:val="20"/>
          <w:szCs w:val="20"/>
        </w:rPr>
        <w:t>Scripts de evolución secuencial numerados y reproducibles.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RNF-MANT-04 (Arquitectura Modular):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Capas independientes con inversión de dependencias para desacoplar proveedores externos.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4. Vistas Arquitectónicas del Sistema (Modelo 4+1 de Kruchten)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4.1 Vista Lógica (Las 5 Capas del Software)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se organiza en 5 capas desacopladas con responsabilidades estrictas: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1. Capa de Presentación (Frontend React SPA):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Módulo Auth (Login/Registro), Vistas de Cajero (6 pantallas), Vistas de Admin (11 pantallas) y SesionStore en LocalStorage.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2. Capa de Seguridad &amp; Routing (Express Middleware):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Helmet, CORS restrictivo, Rate Limiters por X-Device-ID e IPv6, AuthMiddleware (JWT Bearer &amp; RBAC) y enrutadores modulares.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3. Capa de Servicios de Negocio (Domain Logic):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AuthService, POS Service, Cierre Caja Z, DTE Emitter, CAF Manager, OCR Ingestion Dispatcher, Payment Dispatcher, ROP Engine y Sync Engine.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4. Capa de Adaptadores Externos: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Clientes para Google Gemini AI (gemini-3.5-flash), Extractor local pdf-parse, SII Web Services, Transbank, Mercado Pago, SumUp y RutPay.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5. Capa de Persistencia Dual Transaccional: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PostgresClient (Cloud SaaS), SqliteClient (Edge Local con withTransaction) y Circuit Breaker con conmutación en 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4.2 Vista de Procesos (Process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Describe la concurrencia, resiliencia y flujos de ejecución críticos: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Checkout Offline con Circuit Breaker: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Venta recibida en POST /pos/checkout. Si PostgreSQL Cloud no responde en 3000 ms, el circuito se abre y persiste en SQLite en 0 ms con is_dirty = 1, retornando la boleta en &lt;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Sincronización Asíncrona con Backoff y Jitter: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servicio pos-sync-engine sondea ventas sucias cada 30 segundos, empaqueta lotes de hasta 50 transacciones y las envía a POST /sync/push. Ante fallas de red, calcula el retraso exponencial con jitter para evitar tormentas de peticiones.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Ingesta OCR Resiliente: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 /invoices/scan envía el documento a Gemini 3.5 Flash con timeout de 60s. Si falla por error transitorio (503/429), reintenta hasta 3 veces. Si falla de forma definitiva, conmuta al extractor PDF nativo (0.11s). Si no hay texto, se encola en PENDIENTE_OCR.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4.3 Vista de Datos: Inventario Oficial de las 29 Tablas Relacionales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El esquema de datos relacional de GesTock está conformado por 29 tablas relacionales activas auditadas en las migraciones: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Núcleo SaaS y Usuarios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tenants, usuarios, configuracion_sistema, planes_facturacion, historial_planes, notificaciones_tokens.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Inventario, Kardex y Proveedores (8):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productos, producto_proveedores, catalogo_borradores, historial_stock, movimientos_inventario, movimientos_inventario_tipos, mermas, proveedores.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Compras y Órdenes de Reposición (3):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purchase_orders, purchase_order_details, factura_ingresos.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Punto de Venta, Caja y Pagos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cierres_caja, caja_movimientos, transacciones_venta, detalle_venta, metodos_pago, payment_transactions.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Facturación Fiscal DTE (4):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sii_caf, sii_dte_emitidos, sii_rcof_registros, guias_despacho.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>• Existencia por Lote y Versionado DDL (2): lotes, _migrations (Control y trazabilidad de migraciones DDL ejecutadas).</w:t>
      </w:r>
      <w:r>
        <w:rPr>
          <w:rFonts w:ascii="Arial" w:cs="Arial" w:eastAsia="Arial" w:hAnsi="Arial"/>
          <w:color w:val="334155"/>
          <w:sz w:val="20"/>
          <w:szCs w:val="20"/>
        </w:rPr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4.4 Vista de Implementación / Componentes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Estructura modular en TypeScript organizada por módulos de dominio: routes/ (controladores REST), middleware/ (seguridad y rate limiting), domain services (servicios puros), database/ (clientes pg y sqlite) y utils/ (matemáticas y logging).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4.5 Vista de Despliegue (Deployment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Topología física distribuida: Estación local POS en el mostrador (PC con Node.js v20 e impresora térmica ESC/POS conectada a SQLite local) conectada mediante túnel HTTPS a la infraestructura Cloud (Docker Compose con API Express y PostgreSQL 16) y APIs externas (Google AI Studio, SII y pasarelas bancarias).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5. Modelos Matemáticos y Mecanismos de Ingeniería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5.1 Patrón Circuit Breaker (Tolerancia a Fallos 0 ms)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Supervisa la conexión a PostgreSQL Cloud operando en estados CLOSED (normal), OPEN (desvío a SQLite en 0 ms ante 3 fallos consecutivos o latencia &gt; 3000 ms) y HALF-OPEN (sonda de prueba tras 60 segundos de enfriamiento).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5.2 Algoritmo de Exponential Backoff con Full Jitter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Reintentos: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T_espera = min(T_max, T_base * 2^intentos) + random(0, Jitter)
Donde T_base = 1000 ms, T_max = 60000 ms, Jitter = 500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5.3 Ley de Redondeo en Efectivo (Ley N° 20.956)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Regla Estricta de Cobro: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Aplica únicamente si metodo_pago === "EFECTIVO":
- Si residuo entre 1 y 4 -&gt; Redondeo hacia abajo a la decena.
- Si residuo entre 5 y 9 -&gt; Redondeo hacia arriba a la decena.
En tarjetas, RutPay o QR -&gt; Cobro del monto exacto.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5.4 Reorden Predictivo Idempotente (ROP)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Stock ROP: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ROP = (V_d * L) + SS
Donde V_d es la velocidad diaria de venta, L el lead time del proveedor y SS el stock de seguridad.
GET /suggest es una función pura en memoria; POST /suggest es la que persiste.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>6. Catálogo de Endpoints y Matriz de Trazabilidad (69 Endpoints)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A continuación se resumen los 69 endpoints RESTful del sistema, indicando su rol de acceso mínimo: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URI Endpoint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RF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 Mínimo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/api/v1/auth/login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RF-01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/api/v1/auth/register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RF-03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/api/v1/auth/users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/api/v1/auth/password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/api/v1/caja/abrir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/api/v1/caja/cerrar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RF-18, 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/api/v1/caja/historial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/api/v1/dte/emit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RF-31, 32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/api/v1/dte/:id/receipt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/api/v1/dte/rcof/generate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/api/v1/invoices/scan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RF-39, 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/api/v1/invoices/confirm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RF-42, 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/api/v1/invoices/pending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/api/v1/invoices/process-pending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/api/v1/invoices/:id/document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RF-59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/api/v1/pos/checkout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RF-07, 08, 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RF-13,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/api/v1/pos/devolucion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RF-12,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Sync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/api/v1/sync/push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RF-53, 54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7. Estrategia de Pruebas y Aseguramiento de Calidad (QA)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La confiabilidad de GesTock está respaldada por una batería automatizada en Jest con 297 pruebas ejecutadas con un 100% de éxito (286 de backend y 11 de contrato de la interfaz), complementadas con 92 verificaciones de extremo a extremo.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Operación Crítica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Entorno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Latencia media observada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Objetivo del RNF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EAN-13 (50.000 SKUs)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4.2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>&lt; 10 ms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Completo de Venta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11.8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>&lt; 15 ms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Conmutación por Caída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Circuit Breaker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0.0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>0 ms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Local PDF Fallback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pdf-parse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>&lt; 300 ms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Firma Digital TED (PDF417)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Motor Criptográfico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210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>&lt; 400 ms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Ingesta Transaccional Lote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PostgreSQL Cloud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84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>&lt; 200 ms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8. Conclusiones y Cumplimiento de Metas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de GesTock versión 2.2 restituye íntegramente la totalidad de las dimensiones de diseño de software y cumple con la más alta rigurosidad académica y profesional: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Disponibilidad Total Offline-First: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Ningún comercio detiene sus ventas por intermitencias de red gracias al motor SQLite embebido y conmutación en 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Modelo de Vistas 4+1 Exhaustivo: </w:t>
      </w:r>
      <w:r>
        <w:rPr>
          <w:rFonts w:ascii="Arial" w:cs="Arial" w:eastAsia="Arial" w:hAnsi="Arial"/>
          <w:color w:val="334155"/>
          <w:sz w:val="20"/>
          <w:szCs w:val="20"/>
        </w:rPr>
        <w:t>Las 5 vistas de Kruchten articuladas con el modelo de datos relacional de 29 tablas.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Apego Normativo Chileno Integral: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Cumplimiento simultáneo del SII (DTE, TED, RCOF), Ley N° 20.956 (redondeo sólo en efectivo), Ley N° 21.100 (bolsas) y control FEFO sanitario.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Excelencia de Ingeniería: </w:t>
      </w:r>
      <w:r>
        <w:rPr>
          <w:rFonts w:ascii="Arial" w:cs="Arial" w:eastAsia="Arial" w:hAnsi="Arial"/>
          <w:color w:val="334155"/>
          <w:sz w:val="20"/>
          <w:szCs w:val="20"/>
        </w:rPr>
        <w:t>Desarrollo en TypeScript estricto, 297 pruebas automatizadas y arquitectura Cloud-Native con Docker Compose.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2026-10-07T23:53:46.006Z</dcterms:created>
  <dcterms:modified xsi:type="dcterms:W3CDTF">2026-10-07T23:53:46.007Z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