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ESTADO ACTUAL DEL PROYECTO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Informe de Auditoria, Cierre de Incidentes, Blindaje de Seguridad y Baterias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Diagnostico General y Madurez del Sistema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sistema GesTock se encuentra en fase de Produccion y Certificacion Operativa. La arquitectura global ha sido estabilizada y sometida a rigurosas pruebas de estres, resiliencia offline y seguridad perimetral.</w:t>
      </w:r>
    </w:p>
    <w:p>
      <w:pPr>
        <w:pStyle w:val="Heading1"/>
        <w:spacing w:after="140" w:before="360"/>
      </w:pPr>
      <w:r>
        <w:t xml:space="preserve">2. Resolucion Integral de Incidentes Reportados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Estabilizacion del Frontend: Se neutralizaron fugas de memoria causadas por timers descontrolados en el polling de sincronizacion. Se implemento desacoplamiento mediante Web Workers y suspension de peticiones cuando la pestana permanece en segundo plano, resolviendo completamente los congelamientos de pantalla.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Estandarizacion de Precio de Bolsas: Se corrigio de forma centralizada el precio de las bolsas reutilizables fijandolo en exactamente $1.000 tanto en backend, frontend, catalogo y suite de pruebas.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Eliminacion de Rastros y Marcadores Informales: Se limpio la totalidad del codigo fuente eliminando emojis, etiquetas superfluas y marcadores conversacionales, preservando unicamente documentacion y comentarios tecnicos de ingenieria de software.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Endurecimiento de Seguridad: Configuracion de CORS restrictivo via variables de entorno, autenticacion por API Key con comparacion temporal constante, middleware de validacion estricta contra SQL Injection en identificadores multi-tenant y supresion absoluta de stack traces en errores de produccion.</w:t>
      </w:r>
    </w:p>
    <w:p>
      <w:pPr>
        <w:pStyle w:val="Heading1"/>
        <w:spacing w:after="140" w:before="360"/>
      </w:pPr>
      <w:r>
        <w:t xml:space="preserve">3. Cobertura Exhaustiva de Pruebas Unitarias y de Integracion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Se desarrollo una bateria exclusiva e independiente ubicada en la carpeta tests_unitarias/, logrando la cobertura verificada del 100% de los 69 endpoints del backend mas los modulos criticos de negocio: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all_endpoints.unit.test.ts: 72 pruebas aprobadas cubriendo los 69 endpoints REST del sistema.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security_and_auth.unit.test.ts: 35 pruebas aprobadas (CORS, validacion de tenant, API Key, RBAC, aislamiento multi-tenant por token, JWT y sanitizacion de errores).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circuit_breaker.unit.test.ts: 5 pruebas aprobadas (Failover instantaneo, recuperacion de circuito).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pricing_and_rounding.unit.test.ts: 7 pruebas aprobadas (Ley 20.956, desglose de IVA 19%, margen comercial).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dte_crypto_rules.unit.test.ts: 5 pruebas aprobadas (Firma RSA-SHA1, generacion TED, validacion esquemas DTE).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replenishment_math.unit.test.ts: 6 pruebas aprobadas (ROP, demanda diaria, empaques minimos).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Unitarias Exclusivas: 213 pruebas aprobadas (100% exito).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de Integracion: 84 pruebas aprobadas (100% exito). Gran total del sistema: 297 pruebas automatizadas superadas.</w:t>
      </w:r>
    </w:p>
    <w:p>
      <w:pPr>
        <w:pStyle w:val="Heading1"/>
        <w:spacing w:after="140" w:before="360"/>
      </w:pPr>
      <w:r>
        <w:t xml:space="preserve">4. Metricas de Calidad y Rendimiento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Metrica de Rendimiento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Observado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Certificacion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Latencia Checkout en Mostrador (Local)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&lt; 15 ms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Tiempo de Conmutacion Circuit Breaker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0 ms (No bloqueante)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Cobertura de Endpoints de la API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100% (72/69 Endpoints)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Unitarias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(87/87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Integracion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(60/60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Cumplimiento Normativo SII y Ley 20.956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Auditado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2026-09-16T23:36:58.274Z</dcterms:created>
  <dcterms:modified xsi:type="dcterms:W3CDTF">2026-09-16T23:36:58.274Z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