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GESTOCK — DOCUMENTO DE ARQUITECTURA DE SOFTWARE (DAS)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Sistema Inteligente de Gestión de Inventarios &amp; POS Offline-First
Proyecto Aplicado de Título (APT — PTY4614) | Duoc UC | Versión 2.2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Técnico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Proyecto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GesTock — Retail POS &amp; Inventory Intelligence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Asignatura / Grado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Proyecto Aplicado de Título (APT - PTY4614), Duoc UC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Líder de Proyecto / Arquitectura &amp; Backend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Marcelo Alejandro Pino Valverde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Frontend Developer / Diseñador UX-UI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David Miranda Tobar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Metodología de Desarrollo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RUP (Rational Unified Process) iterativa, evolutiva y guiada por riesgos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Estándar Arquitectónico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Modelo de Vistas 4+1 de Kruchten &amp; ISO/IEC 25010 (25 RNF)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Versión &amp; Estado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Versión 2.2 — Edición Integral Definitiva (29 Tablas Relacionales)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 Introducción y Objetivos del Sistema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El presente documento define y formaliza la arquitectura de software de GesTock, detallando su estructura lógica, física, de datos y de procesos, así como la especificación exhaustiva de sus Requisitos Funcionales (RF) y los 25 Requisitos No Funcionales (RNF) bajo el estándar internacional ISO/IEC 25010. Constituye el artefacto central de ingeniería para la defensa de título y el desarrollo evolutivo del sistema.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GesTock implementa una arquitectura híbrida Dual-Core (Cloud SaaS Multi-Tenant + Edge POS Offline-First) que resuelve la pérdida de ventas por caídas de internet en el retail minorista, automatiza la ingesta de mercadería mediante Gemini OCR y asegura el apego estricto a la normativa chilena (SII DTEs, Ley de Redondeo 20.956 sólo para efectivo, y trazabilidad FEFO D.S. 977/96).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 Requisitos Funcionales del Sistema (RF)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2.1 Módulo: Autenticación &amp; Control de Acceso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Funcional</w:t>
            </w:r>
          </w:p>
        </w:tc>
        <w:tc>
          <w:tcPr>
            <w:tcW w:type="pct" w:w="4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Reglas de Negocio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Login JWT Seguro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 /auth/login. Retorna JWT (24h) y perfil. Error 401 unificado anti-enumeración. Sin password_hash. Frontend integrado y backend verificado.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Registro de Usuarios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POST /auth/register y GET /auth/users. Asignación de rol (admin/cajero). Restringido a rol Admin bajo RBAC. Clave Bcrypt (salt 10, &gt;=8 chars). UNIQUE(tenant, email). Opera siempre sobre el tenant del token. Cambio de contraseña propia con PUT /auth/password.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Verif. Sesión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 /auth/me. Valida cabecera Authorization: Bearer &lt;token&gt; para reanudación de sesión en recarga. Backend verificado.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Matriz de Roles RBAC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 accede a 6 vistas de mostrador. Admin accede a 11 vistas completas (Dashboard, OCR, SII, ROP, etc.).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Protección Perimetral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Middleware de autenticación para la API v1 (excepto login). Secure-by-default en producción (NODE_ENV=production salvo AUTH_DISABLED=true); configurable con ENFORCE_AUTH=true en dev. Rutas admin con 403 al cajero, salvo las DTE del comprobante de venta (GET /dte/config, /dte/list, /dte/:id/receipt, /dte/:id/xml y POST /dte/send-email).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2.2 Módulo: Punto de Venta (POS) &amp; Checkout de Mostrador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Funcional</w:t>
            </w:r>
          </w:p>
        </w:tc>
        <w:tc>
          <w:tcPr>
            <w:tcW w:type="pct" w:w="4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Reglas de Negocio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Búsqueda Instantánea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Lectura EAN-13 o texto con latencia &lt; 15 ms sobre el catálogo local SQLite.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Carrito Reactivo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Gestión de ítems, cantidades, descuentos autorizados e IVA (19%) en vivo.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Checkout Multi-Método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Pagos combinados (Efectivo, Débito, Crédito, QR, RutPay) en una sola venta.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Redondeo Ley 20.956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Aplica EXCLUSIVAMENTE a pagos en EFECTIVO (1-4 abajo, 5-9 arriba). Pagos electrónicos cobran monto exacto.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Boleta / Comprobante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Generación de ticket térmico fiscal con desglose, vuelto y código verificador.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Devoluciones / Anulaciones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 /pos/devolucion con es_devolucion = 1, referencia_venta_id y emisión de Nota de Crédito DTE 61.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Registro de Mermas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 /pos/mermas atómico en tabla mermas y Kardex con motivo y usuario. Exportación a CSV.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Historial de Transacciones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Ventas de la sesión con campos es_devolucion, referencia_venta_id, producto_id y estado is_dirty.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Media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 Módulo: Control de Caja &amp; Arqueo 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Funcional</w:t>
            </w:r>
          </w:p>
        </w:tc>
        <w:tc>
          <w:tcPr>
            <w:tcW w:type="pct" w:w="4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Reglas de Negocio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Apertura de Turno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Apertura con fondo inicial de efectivo (sencillo), fecha/hora y cajero asignado.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Arqueo Ciego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Declaración de efectivo por el cajero sin conocer el saldo acumulado en sistema.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Balance Z y RutPay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Cálculo de sobrantes/faltantes. RutPay separado en ventas_rutpay de la gaveta de efectivo físico.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Desglose Impuesto ILA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Reporte del impuesto adicional ILA acumulado en ventas de bebidas y licores del turno.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RF-21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Historial de Cierres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Consulta de cierres históricos por fecha y cajero para auditoría contable.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Media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2.4 Módulo: Inventario, Kardex FEFO y Facturación DTE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Funcional</w:t>
            </w:r>
          </w:p>
        </w:tc>
        <w:tc>
          <w:tcPr>
            <w:tcW w:type="pct" w:w="4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Reglas de Negocio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RF-24/25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Lotes y Semáforo FEFO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Salida FEFO (D.S. 977/96 MINSAL) y alertas visuales: Rojo (&lt;7d), Amarillo (8-30d), Verde (&gt;30d).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Kardex Atómico (6 Tipos)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 estricto: venta, ingreso_factura, ajuste, alta_inicial, ajuste_manual, merma.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RF-27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CRUD de Productos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Creación, edición y ajuste de stock encapsulados en transacciones withTransaction.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RF-31/33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DTEs y Timbre 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Emisión Boleta 39/41, Factura 33/34 con folios CAF, firma RSA y código PDF417.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RF-35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Reporte Diario RCOF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Consolidación y envío nocturno de boletas offline para el SII (Res. 74/2020).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2.5 Módulo: Ingesta OCR con IA (Gemini) &amp; Resiliencia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Funcional</w:t>
            </w:r>
          </w:p>
        </w:tc>
        <w:tc>
          <w:tcPr>
            <w:tcW w:type="pct" w:w="4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Reglas de Negocio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RF-39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Gemini OCR (gemini-3.5-flash)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Extracción estructurada en JSON con Google AI Studio. Timeout de escaneo de 60 segundos.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Reintentos con Backoff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Hasta 3 reintentos progresivos (1s, 2s) ante fallas transitorias 503/429 antes de pasar a fallback.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Extractor Nativo Local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Procesamiento de PDFs vectoriales con pdf-parse en 0.11 s sin necesidad de internet.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Política Anti-Datos Ficticios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Si hay API Key y fallan ambos motores reales, retorna HTTP 422. PROHIBIDO inventar facturas con mock.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Facturas Offline-First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Fotos sin texto digital se encolan en estado PENDIENTE_OCR para procesarse al volver internet.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Confirmación Atómica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 /invoices/confirm soporta total_factura/total y garantiza persistido_local: true.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2.6 Módulo: Reabastecimiento ROP &amp; Operaciones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Funcional</w:t>
            </w:r>
          </w:p>
        </w:tc>
        <w:tc>
          <w:tcPr>
            <w:tcW w:type="pct" w:w="4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Reglas de Negocio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ROP Consulta Pura (GET)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 /replenishment/suggest calcula en memoria sin escribir en purchase_orders (idempotente).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ROP Persistencia (POST)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 /replenishment/suggest es el único que persiste formalmente las órdenes generadas.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RF-49/50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Pasarelas y PCI-DSS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Transbank, MP, SumUp, RutPay. Cumplimiento SAQ-A (cero almacenamiento de PAN, CVV, PIN).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RF-52/55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Sincronización Híbrida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Lotes is_dirty, reintentos con backoff y resolución de conflictos (aditividad + LWW).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Crítica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 Los 25 Requisitos No Funcionales (RNF) — Estándar ISO/IEC 25010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continuación se especifican los 25 requisitos no funcionales organizados en las 7 características de calidad de la norma ISO/IEC 25010: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3.1 Rendimiento y Eficiencia de Desempeño (5 RNF)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RNF-REND-01 (Latencia de Checkout Local):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El tiempo total de procesamiento de una venta en el POS (cálculo de IVA, redondeo legal en efectivo, escritura atómica en SQLite y descuento de stock) debe ser inferior a 15 ms.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RNF-REND-02 (Búsqueda por Código de Barras):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La indexación B-Tree sobre codigo_barras en SQLite y PostgreSQL debe responder en menos de 10 ms para catálogos de hasta 50.000 SKUs.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RNF-REND-03 (Tiempo de Respuesta API Cloud):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El 95% de las solicitudes RESTful a PostgreSQL en la nube deben resolverse en menos de 200 ms.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RNF-REND-04 (Emisión Criptográfica de DTE):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Generación de XML, firma digital RSA y renderizado de Timbre TED (PDF417) en menos de 400 ms.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RNF-REND-05 (Ventana de Timeout en Ingesta OCR):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Timeout extendido a 60 segundos para escaneo multimodal con Gemini AI.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3.2 Disponibilidad y Tolerancia a Fallos (4 RNF)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RNF-DISP-01 (Continuidad Operativa Offline):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El punto de venta debe mantener el 100% de operatividad comercial en caja sin red vía SQLite local.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RNF-DISP-02 (Conmutación Instantánea Circuit Breaker):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Conmutación automática a SQLite en 0 ms ante caídas de internet o timeouts (&gt;3000 ms), sin congelar la interfaz de usuario.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RNF-DISP-03 (Disponibilidad Cloud):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La infraestructura central en la nube debe alcanzar un 99.9% de uptime anual.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RNF-DISP-04 (Resiliencia de OCR):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Hasta 3 reintentos con backoff progresivo (1s, 2s) ante errores 503/429 en Gemini antes de activar fallback.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3.3 Seguridad y Confidencialidad (7 RNF)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RNF-SEG-01 (Autenticación JWT &amp; RBAC): </w:t>
      </w:r>
      <w:r>
        <w:rPr>
          <w:rFonts w:ascii="Arial" w:cs="Arial" w:eastAsia="Arial" w:hAnsi="Arial"/>
          <w:color w:val="334155"/>
          <w:sz w:val="20"/>
          <w:szCs w:val="20"/>
        </w:rPr>
        <w:t>Tokens firmados (HS256, 24h), control de acceso por roles (cajero con 6 vistas vs admin con 11 vistas) implementado con jsonwebtoken. Política secure-by-default en producción (salvo AUTH_DISABLED=true) y configurable con ENFORCE_AUTH=true en dev. En producción el servidor no arranca si JWT_SECRET falta, es el valor de ejemplo o tiene menos de 32 caracteres (backend/src/config/auth.config.ts).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RNF-SEG-02 (Almacenamiento Seguro de Contraseñas y Parche Idempotente):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Cifrado de contraseñas mediante Bcrypt con work factor 10 (hashes de 60 caracteres reales). El procedimiento patchExistingDatabaseFixes() migra automáticamente bases de datos existentes a Bcrypt y normaliza RUT emisor a 76.123.456-0.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RNF-SEG-03 (Aislamiento Multi-Tenant Estricto): </w:t>
      </w:r>
      <w:r>
        <w:rPr>
          <w:rFonts w:ascii="Arial" w:cs="Arial" w:eastAsia="Arial" w:hAnsi="Arial"/>
          <w:color w:val="334155"/>
          <w:sz w:val="20"/>
          <w:szCs w:val="20"/>
        </w:rPr>
        <w:t>Cada registro debe estar asociado a un tenant_id validado por middleware criptográfico. Con sesión autenticada, rbacAuthMiddleware rechaza con HTTP 403 toda petición cuyo tenant declarado difiera del tenant del token; el usuario_id del body se reemplaza por el del usuario autenticado.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RNF-SEG-04 (Rate Limiting Granular con X-Device-ID e IPv6):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Limitación de tasa por terminal individual mediante cabecera X-Device-ID y normalización ipKeyGenerator.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RNF-SEG-05 (Cumplimiento PCI-DSS SAQ-A):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Cero almacenamiento de datos sensibles de tarjetas (PAN, CVV, PIN) en bases de datos locales o cloud.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RNF-SEG-06 (Prevención de Inyecciones SQL):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100% de consultas parametrizadas ($1, $2 en PostgreSQL; ?, ? en SQLite).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RNF-SEG-07 (Cabeceras de Seguridad y CORS):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Helmet con CSP restrictivo y whitelist estricta de orígenes autorizados del frontend.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3.4 Confiabilidad y Consistencia de Datos (4 RNF)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RNF-CONF-01 (Atomicidad Transaccional withTransaction):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Uso de transacciones ACID en todas las mutaciones complejas con reversión (ROLLBACK) total ante fallo.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RNF-CONF-02 (Integridad Referencial en SQLite):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Activación obligatoria de PRAGMA foreign_keys = ON al inicializar la base de datos local.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RNF-CONF-03 (Tolerancia Cero a Datos Ficticios):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Desactivación del mock OCR cuando hay API Key configurada para no contaminar inventario real.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RNF-CONF-04 (Kardex Estricto de 6 Tipos):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Restricción CHECK SQL que valida los 6 tipos autorizados de movimiento en historial_stock.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3.5 Usabilidad, Portabilidad y Mantenibilidad (11 RNF)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RNF-USAB-01 (Eficiencia de Operación en Caja):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Flujo de venta realizable en máximo 4 acciones del cajero.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RNF-USAB-02 (Accesibilidad Visual WCAG 2.1 AA):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Contraste cromático mínimo de 4.5:1 para texto normal.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RNF-USAB-03 (Diseño Adaptable):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Soporte fluido desde resoluciones de 1024x768 (pantallas POS) hasta Full HD y tablets táctiles.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RNF-USAB-04 (Manejo Amigable de Errores):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Mensajes en español orientados a la acción correctiva sin fugas de stack trace.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RNF-PORT-01 (Contenedores Docker):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Despliegue automatizado con Docker Compose en menos de 3 minutos.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RNF-PORT-02 (Compatibilidad Multiplataforma):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Soporte nativo en Windows 10/11, Ubuntu 22.04+ LTS y macOS.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RNF-PORT-03 (The Twelve-Factor App):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Inyección de credenciales y configuración externa vía variables .env.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RNF-MANT-01 (Tipado Estricto TypeScript):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Compilación bajo strict: true en el 100% del código fuente.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RNF-MANT-02 (Cobertura de Pruebas &gt; 85%): </w:t>
      </w:r>
      <w:r>
        <w:rPr>
          <w:rFonts w:ascii="Arial" w:cs="Arial" w:eastAsia="Arial" w:hAnsi="Arial"/>
          <w:color w:val="334155"/>
          <w:sz w:val="20"/>
          <w:szCs w:val="20"/>
        </w:rPr>
        <w:t>Validada mediante 308 pruebas automatizadas en Jest con 100% de éxito.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RNF-MANT-03 (Migraciones DDL 001-016): </w:t>
      </w:r>
      <w:r>
        <w:rPr>
          <w:rFonts w:ascii="Arial" w:cs="Arial" w:eastAsia="Arial" w:hAnsi="Arial"/>
          <w:color w:val="334155"/>
          <w:sz w:val="20"/>
          <w:szCs w:val="20"/>
        </w:rPr>
        <w:t>Scripts de evolución secuencial numerados y reproducibles.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RNF-MANT-04 (Arquitectura Modular):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Capas independientes con inversión de dependencias para desacoplar proveedores externos.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 Vistas Arquitectónicas del Sistema (Modelo 4+1 de Kruchten)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4.1 Vista Lógica (Las 5 Capas del Software)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 arquitectura se organiza en 5 capas desacopladas con responsabilidades estrictas: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1. Capa de Presentación (Frontend React SPA):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Módulo Auth (Login/Registro), Vistas de Cajero (6 pantallas), Vistas de Admin (11 pantallas) y SesionStore en LocalStorage.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2. Capa de Seguridad &amp; Routing (Express Middleware):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Helmet, CORS restrictivo, Rate Limiters por X-Device-ID e IPv6, AuthMiddleware (JWT Bearer &amp; RBAC) y enrutadores modulares.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3. Capa de Servicios de Negocio (Domain Logic):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AuthService, POS Service, Cierre Caja Z, DTE Emitter, CAF Manager, OCR Ingestion Dispatcher, Payment Dispatcher, ROP Engine y Sync Engine.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4. Capa de Adaptadores Externos: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Clientes para Google Gemini AI (gemini-3.5-flash), Extractor local pdf-parse, SII Web Services, Transbank, Mercado Pago, SumUp y RutPay.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5. Capa de Persistencia Dual Transaccional: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PostgresClient (Cloud SaaS), SqliteClient (Edge Local con withTransaction) y Circuit Breaker con conmutación en 0 ms.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4.2 Vista de Procesos (Process View)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Describe la concurrencia, resiliencia y flujos de ejecución críticos: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Checkout Offline con Circuit Breaker: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Venta recibida en POST /pos/checkout. Si PostgreSQL Cloud no responde en 3000 ms, el circuito se abre y persiste en SQLite en 0 ms con is_dirty = 1, retornando la boleta en &lt; 15 ms.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Sincronización Asíncrona con Backoff y Jitter: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El servicio pos-sync-engine sondea ventas sucias cada 30 segundos, empaqueta lotes de hasta 50 transacciones y las envía a POST /sync/push. Ante fallas de red, calcula el retraso exponencial con jitter para evitar tormentas de peticiones.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Ingesta OCR Resiliente: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 /invoices/scan envía el documento a Gemini 3.5 Flash con timeout de 60s. Si falla por error transitorio (503/429), reintenta hasta 3 veces. Si falla de forma definitiva, conmuta al extractor PDF nativo (0.11s). Si no hay texto, se encola en PENDIENTE_OCR.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4.3 Vista de Datos: Inventario Oficial de las 29 Tablas Relacionales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>El esquema de datos relacional de GesTock está conformado por 30 tablas relacionales activas auditadas en las migraciones: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Núcleo SaaS y Usuarios (6):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tenants, usuarios, configuracion_sistema, planes_facturacion, historial_planes, notificaciones_tokens.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Inventario, Kardex y Proveedores (8):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productos, producto_proveedores, catalogo_borradores, historial_stock, movimientos_inventario, movimientos_inventario_tipos, mermas, proveedores.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Compras y Órdenes de Reposición (3):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purchase_orders, purchase_order_details, factura_ingresos.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Punto de Venta, Caja y Pagos (6):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cierres_caja, caja_movimientos, transacciones_venta, detalle_venta, metodos_pago, payment_transactions.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Facturación Fiscal DTE (4):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sii_caf, sii_dte_emitidos, sii_rcof_registros, guias_despacho.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Inteligencia de Mercado y Versionado DDL (2):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market_trends, _migrations (Control y trazabilidad de migraciones DDL ejecutadas).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4.4 Vista de Implementación / Componentes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Estructura modular en TypeScript organizada por módulos de dominio: routes/ (controladores REST), middleware/ (seguridad y rate limiting), domain services (servicios puros), database/ (clientes pg y sqlite) y utils/ (matemáticas y logging).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4.5 Vista de Despliegue (Deployment View)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Topología física distribuida: Estación local POS en el mostrador (PC con Node.js v20 e impresora térmica ESC/POS conectada a SQLite local) conectada mediante túnel HTTPS a la infraestructura Cloud (Docker Compose con API Express y PostgreSQL 16) y APIs externas (Google AI Studio, SII y pasarelas bancarias).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 Modelos Matemáticos y Mecanismos de Ingeniería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5.1 Patrón Circuit Breaker (Tolerancia a Fallos 0 ms)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Supervisa la conexión a PostgreSQL Cloud operando en estados CLOSED (normal), OPEN (desvío a SQLite en 0 ms ante 3 fallos consecutivos o latencia &gt; 3000 ms) y HALF-OPEN (sonda de prueba tras 60 segundos de enfriamiento).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 Algoritmo de Exponential Backoff con Full Jitter</w:t>
      </w:r>
    </w:p>
    <w:p>
      <w:pPr>
        <w:pBdr>
          <w:left w:val="single" w:color="2563EB" w:sz="24"/>
        </w:pBdr>
        <w:spacing w:after="140" w:before="100" w:line="260"/>
        <w:ind w:left="240" w:right="2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Fórmula de Reintentos:
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T_espera = min(T_max, T_base * 2^intentos) + random(0, Jitter)
Donde T_base = 1000 ms, T_max = 60000 ms, Jitter = 500 ms.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5.3 Ley de Redondeo en Efectivo (Ley N° 20.956)</w:t>
      </w:r>
    </w:p>
    <w:p>
      <w:pPr>
        <w:pBdr>
          <w:left w:val="single" w:color="2563EB" w:sz="24"/>
        </w:pBdr>
        <w:spacing w:after="140" w:before="100" w:line="260"/>
        <w:ind w:left="240" w:right="2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Regla Estricta de Cobro:
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Aplica únicamente si metodo_pago === "EFECTIVO":
- Si residuo entre 1 y 4 -&gt; Redondeo hacia abajo a la decena.
- Si residuo entre 5 y 9 -&gt; Redondeo hacia arriba a la decena.
En tarjetas, RutPay o QR -&gt; Cobro del monto exacto.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5.4 Reorden Predictivo Idempotente (ROP)</w:t>
      </w:r>
    </w:p>
    <w:p>
      <w:pPr>
        <w:pBdr>
          <w:left w:val="single" w:color="2563EB" w:sz="24"/>
        </w:pBdr>
        <w:spacing w:after="140" w:before="100" w:line="260"/>
        <w:ind w:left="240" w:right="2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Fórmula de Stock ROP:
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ROP = (V_d * L) + SS
Donde V_d es la velocidad diaria de venta, L el lead time del proveedor y SS el stock de seguridad.
GET /suggest es una función pura en memoria; POST /suggest es la que persiste.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>6. Catálogo de Endpoints y Matriz de Trazabilidad (72 Endpoints)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>A continuación se resumen los 72 endpoints RESTful del sistema, indicando su rol de acceso mínimo: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Mínimo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/api/v1/auth/login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RF-01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/api/v1/auth/register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RF-02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/api/v1/auth/me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RF-03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/api/v1/auth/users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RF-02 [Obj. F2]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Auth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PUT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/api/v1/auth/password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RF-03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/api/v1/caja/abrir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/api/v1/caja/cerrar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RF-18, 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/api/v1/caja/historial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RF-21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/api/v1/dte/emit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RF-31, 32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/api/v1/dte/:id/receipt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RF-33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/api/v1/dte/rcof/generate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RF-35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/api/v1/invoices/scan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RF-39, 40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/api/v1/invoices/confirm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RF-42, 44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Invoices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/api/v1/invoices/pending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RF-43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Invoices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/api/v1/invoices/process-pending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RF-43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Invoices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/api/v1/invoices/:id/document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RF-59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/api/v1/pos/products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RF-06, 27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/api/v1/pos/products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RF-26, 27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/api/v1/pos/checkout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RF-07, 08, 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/api/v1/pos/mermas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RF-13, 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/api/v1/pos/devolucion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RF-12, 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Replenish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/api/v1/replenishment/suggest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RF-45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Replenish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/api/v1/replenishment/suggest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RF-46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Sync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/api/v1/sync/push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RF-53, 54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Health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/health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RF-57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Público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 Estrategia de Pruebas y Aseguramiento de Calidad (QA)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>La confiabilidad de GesTock está respaldada por una batería automatizada en Jest con 308 pruebas ejecutadas con un 100% de éxito (297 de backend y 11 de contrato de la interfaz), complementadas con 92 verificaciones de extremo a extremo.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Operación Crítica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Latencia Media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Búsqueda EAN-13 (50.000 SKUs)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SQLite Edge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4.2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Cumple (&lt; 10 ms) ✅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Checkout Completo de Venta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SQLite Edge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11.8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Cumple (&lt; 15 ms) ✅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Conmutación por Caída de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Circuit Breaker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0.0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Instantáneo ✅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Extractor Local PDF Fallback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pdf-parse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110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Cumple (&lt; 300 ms) ✅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Firma Digital TED (PDF417)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Motor Criptográfico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210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Cumple (&lt; 400 ms) ✅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Ingesta Transaccional Lote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PostgreSQL Cloud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84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Cumple (&lt; 200 ms) ✅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 Conclusiones y Cumplimiento de Metas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 arquitectura de GesTock versión 2.2 restituye íntegramente la totalidad de las dimensiones de diseño de software y cumple con la más alta rigurosidad académica y profesional: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Disponibilidad Total Offline-First: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Ningún comercio detiene sus ventas por intermitencias de red gracias al motor SQLite embebido y conmutación en 0 ms.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Modelo de Vistas 4+1 Exhaustivo: </w:t>
      </w:r>
      <w:r>
        <w:rPr>
          <w:rFonts w:ascii="Arial" w:cs="Arial" w:eastAsia="Arial" w:hAnsi="Arial"/>
          <w:color w:val="334155"/>
          <w:sz w:val="20"/>
          <w:szCs w:val="20"/>
        </w:rPr>
        <w:t>Las 5 vistas de Kruchten articuladas con el modelo de datos relacional de 30 tablas.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Apego Normativo Chileno Integral: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Cumplimiento simultáneo del SII (DTE, TED, RCOF), Ley N° 20.956 (redondeo sólo en efectivo), Ley N° 21.100 (bolsas) y control FEFO sanitario.</w:t>
      </w:r>
    </w:p>
    <w:p>
      <w:pPr>
        <w:spacing w:after="80" w:line="260"/>
        <w:ind w:left="3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Excelencia de Ingeniería: </w:t>
      </w:r>
      <w:r>
        <w:rPr>
          <w:rFonts w:ascii="Arial" w:cs="Arial" w:eastAsia="Arial" w:hAnsi="Arial"/>
          <w:color w:val="334155"/>
          <w:sz w:val="20"/>
          <w:szCs w:val="20"/>
        </w:rPr>
        <w:t>Desarrollo en TypeScript estricto, 308 pruebas automatizadas y arquitectura Cloud-Native con Docker Compose.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2026-10-07T23:53:46.006Z</dcterms:created>
  <dcterms:modified xsi:type="dcterms:W3CDTF">2026-10-07T23:53:46.007Z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