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MODELO DE BASE DE DATOS Y PERSISTENCIA DUAL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Diccionario de Datos, Relaciones, Indices y Espejo Offline-First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Estrategia de Persistencia Dual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GesTock implementa una arquitectura de persistencia simetrica entre PostgreSQL 16+ (nube) y SQLite 3 (borde local). Todas las entidades operativas del punto de venta poseen representacion exacta en ambos motores, lo que permite la clonacion inmediata de catalogos y la acumulacion de transacciones locales.</w:t>
      </w:r>
    </w:p>
    <w:p>
      <w:pPr>
        <w:pStyle w:val="Heading1"/>
        <w:spacing w:after="140" w:before="360"/>
      </w:pPr>
      <w:r>
        <w:t xml:space="preserve">2. Diccionario de Tablas Principales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de Tabla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 Primario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Proposito y Dominio de Negocio</w:t>
            </w:r>
          </w:p>
        </w:tc>
        <w:tc>
          <w:tcPr>
            <w:tcW w:type="pct" w:w="15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Campos Clave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tenants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Postgres Cloud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Cuentas comerciales y configuracion global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rut, razon_social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usuarios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Usuarios, cajeros y roles del sistema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tenant_id, rol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sucursales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Puntos de venta fisicos y bodegas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tenant_id, codigo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productos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Catalogo maestro, SKUs, barras y costo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codigo_barra, precio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lotes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Trazabilidad de vencimiento y stock por lote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producto_id, fecha_venc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proveedores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Proveedores B2B, lead time y empaques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rut, lead_time_dias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ordenes_compra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Ordenes de abastecimiento sugeridas o emitidas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proveedor_id, total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sesiones_caja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Turnos de caja, fondo inicial y Balance Z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usuario_id, estado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movimientos_caja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Ingresos y retiros manuales de efectivo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sesion_id, monto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ventas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Cabecera de ventas y banderas offline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total, is_dirty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detalle_ventas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Lineas de articulos vendidos y precios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venta_id, subtotal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documentos_tributarios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DTEs legales (39, 41, 33, 52), TED y firma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folio, tipo_dte, ted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pagos_transacciones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Pasarelas de pago y vouchers comerciales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venta_id, metodo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facturas_proveedor_ingesta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Facturas B2B procesadas por OCR/XML (Cabecera)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rut_emisor, total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detalle_factura_ingresos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Lineas de compra, costo unitario, lotes y vencimiento (1:N)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factura_id, producto_id</w:t>
            </w:r>
          </w:p>
        </w:tc>
      </w:tr>
      <w:tr>
        <w:tc>
          <w:tcPr>
            <w:tcW w:type="pct" w:w="25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configuraciones_tenant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Dual (PG + SQL)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Margen de ganancia comercial y parametros</w:t>
            </w:r>
          </w:p>
        </w:tc>
        <w:tc>
          <w:tcPr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id, tenant_id, margen</w:t>
            </w:r>
          </w:p>
        </w:tc>
      </w:tr>
    </w:tbl>
    <w:p>
      <w:pPr>
        <w:pStyle w:val="Heading1"/>
        <w:spacing w:after="140" w:before="360"/>
      </w:pPr>
      <w:r>
        <w:t xml:space="preserve">3. Campos de Protocolo de Sincronizacion Offline-First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Para asegurar la consistencia eventual sin pérdida de transacciones, todas las tablas mutables en SQLite incorporan metadatos de sincronizacion: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is_dirty (INTEGER/BOOLEAN): 1 indica que el registro fue creado o modificado localmente y se encuentra pendiente de replicacion hacia la nube. 0 indica registro conciliado.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sync_attempts (INTEGER): Contador acumulativo de reintentos de transmision para deteccion de anomalias o dead letters.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sync_status (VARCHAR): Estados controlados: pending, synced, error.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updated_at (TIMESTAMP): Marca temporal de precision en milisegundos para resolucion determinista de conflictos (estrategia Last-Write-Wins).</w:t>
      </w:r>
    </w:p>
    <w:p>
      <w:pPr>
        <w:pStyle w:val="Heading1"/>
        <w:spacing w:after="140" w:before="360"/>
      </w:pPr>
      <w:r>
        <w:t xml:space="preserve">4. Integridad Referencial y Normativa Legal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En SQLite, la conexion se inicializa obligatoriamente con el comando PRAGMA foreign_keys = ON;, garantizando que ninguna venta o detalle viole las relaciones con productos o sesiones de caja existentes.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 esquema respeta fielmente la legislacion chilena: calculo neto e IVA 19% desglosado, soporte de Timbre Electronico DTE (TED) segun formato XML estipulado por el SII y registro del ajuste por Ley de Redondeo (Ley N° 20.956).</w:t>
      </w:r>
    </w:p>
    <w:p>
      <w:r>
        <w:rPr>
          <w:rFonts w:ascii="Calibri" w:hAnsi="Calibri"/>
          <w:b/>
          <w:sz w:val="26"/>
        </w:rPr>
        <w:t>5. Diagrama Entidad-Relacion</w:t>
      </w:r>
    </w:p>
    <w:p>
      <w:r>
        <w:rPr>
          <w:rFonts w:ascii="Calibri" w:hAnsi="Calibri"/>
          <w:sz w:val="21"/>
        </w:rPr>
        <w:t>El modelo se representa mediante un diagrama entidad-relacion generado a partir del esquema real de la base de datos, de modo que lo dibujado corresponde exactamente a lo que existe. Se encuentra en la misma carpeta de evidencias en tres piezas: "Diagrama Base De Datos.mmd", la fuente en sintaxis Mermaid con las 29 entidades y sus atributos clave; "Diagrama Base De Datos General.mmd", una vista de conjunto con las entidades y sus 45 relaciones, sin atributos, para lectura rapida; y "Visor Diagrama.html", que lo renderiza en un navegador sin herramientas adicionales.</w:t>
      </w:r>
    </w:p>
    <w:p>
      <w:r>
        <w:rPr>
          <w:rFonts w:ascii="Calibri" w:hAnsi="Calibri"/>
          <w:sz w:val="21"/>
        </w:rPr>
        <w:t>Mantener el diagrama como texto versionado, y no solo como imagen, permite que cada cambio del esquema quede registrado en el historial del repositorio con la misma trazabilidad que las migraciones, y que el diagrama no se desactualice respecto de la base de datos.</w:t>
      </w:r>
    </w:p>
    <w:p>
      <w:r>
        <w:rPr>
          <w:rFonts w:ascii="Calibri" w:hAnsi="Calibri"/>
          <w:sz w:val="21"/>
        </w:rPr>
        <w:t>El diagrama declara 22 relaciones entre 19 entidades. La tabla siguiente las enumera con su cardinalidad, tal como estan definidas en la fuente del diagrama.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/>
            <w:r>
              <w:rPr>
                <w:b/>
                <w:sz w:val="18"/>
              </w:rPr>
              <w:t>Entidad origen</w:t>
            </w:r>
          </w:p>
        </w:tc>
        <w:tc>
          <w:tcPr>
            <w:tcW w:type="dxa" w:w="2256"/>
          </w:tcPr>
          <w:p>
            <w:r/>
            <w:r>
              <w:rPr>
                <w:b/>
                <w:sz w:val="18"/>
              </w:rPr>
              <w:t>Cardinalidad</w:t>
            </w:r>
          </w:p>
        </w:tc>
        <w:tc>
          <w:tcPr>
            <w:tcW w:type="dxa" w:w="2256"/>
          </w:tcPr>
          <w:p>
            <w:r/>
            <w:r>
              <w:rPr>
                <w:b/>
                <w:sz w:val="18"/>
              </w:rPr>
              <w:t>Entidad destino</w:t>
            </w:r>
          </w:p>
        </w:tc>
        <w:tc>
          <w:tcPr>
            <w:tcW w:type="dxa" w:w="2256"/>
          </w:tcPr>
          <w:p>
            <w:r/>
            <w:r>
              <w:rPr>
                <w:b/>
                <w:sz w:val="18"/>
              </w:rPr>
              <w:t>Relacion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Planes Facturacion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Tenants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asigna plan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Planes Facturacion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Historial Planes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registra historial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Tenants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Usuarios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agrupa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Tenants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Historial Planes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posee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Tenants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Configuracion Sistema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personaliza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Usuarios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Notificaciones Tokens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genera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Tenants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Proveedores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gestiona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Proveedores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Catalogo Borradores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propone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Proveedores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Factura Ingresos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emite 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Factura Ingresos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(1..N)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Detalle Factura Ingresos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desglosa en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Productos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Detalle Factura Ingresos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comprado en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Tenants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Productos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posee catalogo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Proveedores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Productos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proveedor principal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Productos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Lotes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controla vencimiento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Productos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Movimientos Inventario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audita stock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Movimientos Inventario Tipos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Movimientos Inventario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clasifica origen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Usuarios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Sesiones Caja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opera caja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Sesiones Caja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Movimientos Caja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entradas salidas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Sesiones Caja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Transacciones Venta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contiene ventas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Transacciones Venta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(1..N)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Detalle Venta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desglosa en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Productos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Detalle Venta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se vende en</w:t>
            </w:r>
          </w:p>
        </w:tc>
      </w:tr>
      <w:tr>
        <w:tc>
          <w:tcPr>
            <w:tcW w:type="dxa" w:w="2256"/>
          </w:tcPr>
          <w:p>
            <w:r/>
            <w:r>
              <w:rPr>
                <w:sz w:val="18"/>
              </w:rPr>
              <w:t>Metodos Pago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Uno a muchos (0..N)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Transacciones Venta</w:t>
            </w:r>
          </w:p>
        </w:tc>
        <w:tc>
          <w:tcPr>
            <w:tcW w:type="dxa" w:w="2256"/>
          </w:tcPr>
          <w:p>
            <w:r/>
            <w:r>
              <w:rPr>
                <w:sz w:val="18"/>
              </w:rPr>
              <w:t>paga con</w:t>
            </w:r>
          </w:p>
        </w:tc>
      </w:tr>
    </w:tbl>
    <w:p>
      <w:r>
        <w:rPr>
          <w:rFonts w:ascii="Calibri" w:hAnsi="Calibri"/>
          <w:sz w:val="21"/>
        </w:rPr>
        <w:t>Las llaves primarias son identificadores universales (UUID en PostgreSQL, TEXT en SQLite) y las llaves foraneas se declaran con integridad referencial activa en ambos motores. El esquema emplea tres politicas de borrado, con 49 declaraciones en total: 36 ON DELETE CASCADE en las entidades dependientes de un comercio, de modo que la baja de una cuenta arrastra su informacion asociada; 7 ON DELETE RESTRICT donde la eliminacion comprometeria un registro ya emitido, como el plan de facturacion de un comercio activo, el tipo de un movimiento de inventario o el usuario que firmo una venta; y 6 ON DELETE SET NULL donde la referencia es informativa y su perdida no invalida el registro que la contiene.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2026-09-16T23:36:58.239Z</dcterms:created>
  <dcterms:modified xsi:type="dcterms:W3CDTF">2026-09-16T23:36:58.239Z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