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RNF-MANT-02 (Cobertura de Pruebas &gt; 85%): </w:t>
      </w:r>
      <w:r>
        <w:rPr>
          <w:rFonts w:ascii="Arial" w:cs="Arial" w:eastAsia="Arial" w:hAnsi="Arial"/>
          <w:color w:val="334155"/>
          <w:sz w:val="20"/>
          <w:szCs w:val="20"/>
        </w:rPr>
        <w:t>Validada mediante 286 pruebas automatizadas en Jest con 100% de éxito.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001-015): </w:t>
      </w:r>
      <w:r>
        <w:rPr>
          <w:rFonts w:ascii="Arial" w:cs="Arial" w:eastAsia="Arial" w:hAnsi="Arial"/>
          <w:color w:val="334155"/>
          <w:sz w:val="20"/>
          <w:szCs w:val="20"/>
        </w:rPr>
        <w:t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esquema de datos relacional de GesTock está conformado por 29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>6. Catálogo de Endpoints y Matriz de Trazabilidad (72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A continuación se resumen los 72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/api/v1/invoices/process-pending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/api/v1/invoices/:id/document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RF-59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La confiabilidad de GesTock está respaldada por una batería automatizada en Jest con 286 pruebas ejecutadas con un 100% de éxito (275 de backend y 11 de contrato de la interfaz), complementadas con 92 verificaciones de extremo a extremo.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Latencia Media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15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Instantáneo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300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400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200 ms) ✅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Las 5 vistas de Kruchten articuladas con el modelo de datos relacional de 29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>Desarrollo en TypeScript estricto, 286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