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>Validada mediante 298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001-016): </w:t>
      </w:r>
      <w:r>
        <w:rPr>
          <w:rFonts w:ascii="Arial" w:cs="Arial" w:eastAsia="Arial" w:hAnsi="Arial"/>
          <w:color w:val="334155"/>
          <w:sz w:val="20"/>
          <w:szCs w:val="20"/>
        </w:rPr>
        <w:t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El esquema de datos relacional de GesTock está conformado por 30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(72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72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/api/v1/invoices/process-pending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/api/v1/invoices/:id/document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RF-59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298 pruebas ejecutadas con un 100% de éxito (287 de backend y 11 de contrato de la interfaz), complementadas con 92 verificaciones de extremo a extremo.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>Las 5 vistas de Kruchten articuladas con el modelo de datos relacional de 30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298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