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GESTOCK RETAIL &amp; SaaS CLOUD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284C7"/>
          <w:sz w:val="28"/>
          <w:szCs w:val="28"/>
        </w:rPr>
        <w:t xml:space="preserve">ESTADO ACTUAL DEL PROYECTO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Informe de Auditoria, Cierre de Incidentes, Blindaje de Seguridad y Baterias de Pruebas</w:t>
      </w:r>
    </w:p>
    <w:p>
      <w:pPr>
        <w:spacing w:after="260" w:before="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Version: 2.2.0 | Fecha: Septiembre 2026 | Estado: Produccion y Certificacion</w:t>
      </w:r>
    </w:p>
    <w:p>
      <w:pPr>
        <w:pStyle w:val="Heading1"/>
        <w:spacing w:after="140" w:before="360"/>
      </w:pPr>
      <w:r>
        <w:t xml:space="preserve">1. Diagnostico General y Madurez del Sistema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El sistema GesTock se encuentra en fase de Produccion y Certificacion Operativa. La arquitectura global ha sido estabilizada y sometida a rigurosas pruebas de estres, resiliencia offline y seguridad perimetral.</w:t>
      </w:r>
    </w:p>
    <w:p>
      <w:pPr>
        <w:pStyle w:val="Heading1"/>
        <w:spacing w:after="140" w:before="360"/>
      </w:pPr>
      <w:r>
        <w:t xml:space="preserve">2. Resolucion Integral de Incidentes Reportados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Estabilizacion del Frontend: Se neutralizaron fugas de memoria causadas por timers descontrolados en el polling de sincronizacion. Se implemento desacoplamiento mediante Web Workers y suspension de peticiones cuando la pestana permanece en segundo plano, resolviendo completamente los congelamientos de pantalla.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Estandarizacion de Precio de Bolsas: Se corrigio de forma centralizada el precio de las bolsas reutilizables fijandolo en exactamente $1.000 tanto en backend, frontend, catalogo y suite de pruebas.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Eliminacion de Rastros y Marcadores Informales: Se limpio la totalidad del codigo fuente eliminando emojis, etiquetas superfluas y marcadores conversacionales, preservando unicamente documentacion y comentarios tecnicos de ingenieria de software.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Endurecimiento de Seguridad: Configuracion de CORS restrictivo via variables de entorno, autenticacion por API Key con comparacion temporal constante, middleware de validacion estricta contra SQL Injection en identificadores multi-tenant y supresion absoluta de stack traces en errores de produccion.</w:t>
      </w:r>
    </w:p>
    <w:p>
      <w:pPr>
        <w:pStyle w:val="Heading1"/>
        <w:spacing w:after="140" w:before="360"/>
      </w:pPr>
      <w:r>
        <w:t xml:space="preserve">3. Cobertura Exhaustiva de Pruebas Unitarias y de Integracion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>Se desarrollo una bateria exclusiva e independiente ubicada en la carpeta tests_unitarias/, logrando la cobertura verificada del 100% de los 72 endpoints del backend mas los modulos criticos de negocio: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>all_endpoints.unit.test.ts: 72 pruebas aprobadas cubriendo los 72 endpoints REST del sistema.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>security_and_auth.unit.test.ts: 35 pruebas aprobadas (CORS, validacion de tenant, API Key, RBAC, aislamiento multi-tenant por token, JWT y sanitizacion de errores).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circuit_breaker.unit.test.ts: 5 pruebas aprobadas (Failover instantaneo, recuperacion de circuito).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pricing_and_rounding.unit.test.ts: 7 pruebas aprobadas (Ley 20.956, desglose de IVA 19%, margen comercial).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dte_crypto_rules.unit.test.ts: 5 pruebas aprobadas (Firma RSA-SHA1, generacion TED, validacion esquemas DTE).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replenishment_math.unit.test.ts: 6 pruebas aprobadas (ROP, demanda diaria, empaques minimos).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>Total Pruebas Unitarias Exclusivas: 211 pruebas aprobadas (100% exito).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>Total Pruebas de Integracion: 87 pruebas aprobadas (100% exito). Gran total del sistema: 298 pruebas automatizadas superadas.</w:t>
      </w:r>
    </w:p>
    <w:p>
      <w:pPr>
        <w:pStyle w:val="Heading1"/>
        <w:spacing w:after="140" w:before="360"/>
      </w:pPr>
      <w:r>
        <w:t xml:space="preserve">4. Metricas de Calidad y Rendimiento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Metrica de Rendimiento</w:t>
            </w:r>
          </w:p>
        </w:tc>
        <w:tc>
          <w:tcPr>
            <w:tcW w:type="pct" w:w="30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Observado</w:t>
            </w:r>
          </w:p>
        </w:tc>
        <w:tc>
          <w:tcPr>
            <w:tcW w:type="pct" w:w="30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de Certificacion</w:t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Latencia Checkout en Mostrador (Local)</w:t>
            </w:r>
          </w:p>
        </w:tc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&lt; 15 ms</w:t>
            </w:r>
          </w:p>
        </w:tc>
        <w:tc>
          <w:tcPr>
            <w:tcW w:type="pct" w:w="30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Cumple Sobresaliente</w:t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Tiempo de Conmutacion Circuit Breaker</w:t>
            </w:r>
          </w:p>
        </w:tc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 ms (No bloqueante)</w:t>
            </w:r>
          </w:p>
        </w:tc>
        <w:tc>
          <w:tcPr>
            <w:tcW w:type="pct" w:w="30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Cumple Sobresaliente</w:t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Cobertura de Endpoints de la API</w:t>
            </w:r>
          </w:p>
        </w:tc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100% (72/72 Endpoints)</w:t>
            </w:r>
          </w:p>
        </w:tc>
        <w:tc>
          <w:tcPr>
            <w:tcW w:type="pct" w:w="30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Cumple Sobresaliente</w:t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Tasa de Aprobacion Pruebas Unitarias</w:t>
            </w:r>
          </w:p>
        </w:tc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100% (87/87 Aprobadas)</w:t>
            </w:r>
          </w:p>
        </w:tc>
        <w:tc>
          <w:tcPr>
            <w:tcW w:type="pct" w:w="30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Cumple Sobresaliente</w:t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Tasa de Aprobacion Pruebas Integracion</w:t>
            </w:r>
          </w:p>
        </w:tc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100% (60/60 Aprobadas)</w:t>
            </w:r>
          </w:p>
        </w:tc>
        <w:tc>
          <w:tcPr>
            <w:tcW w:type="pct" w:w="30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Cumple Sobresaliente</w:t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Cumplimiento Normativo SII y Ley 20.956</w:t>
            </w:r>
          </w:p>
        </w:tc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100% Auditado</w:t>
            </w:r>
          </w:p>
        </w:tc>
        <w:tc>
          <w:tcPr>
            <w:tcW w:type="pct" w:w="30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Cumple Sobresaliente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2026-09-16T23:36:58.274Z</dcterms:created>
  <dcterms:modified xsi:type="dcterms:W3CDTF">2026-09-16T23:36:58.274Z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