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MODELO DE BASE DE DATOS Y PERSISTENCIA DUAL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Diccionario de Datos, Relaciones, Indices y Espejo Offline-First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Estrategia de Persistencia Dual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GesTock implementa una arquitectura de persistencia simetrica entre PostgreSQL 16+ (nube) y SQLite 3 (borde local). Todas las entidades operativas del punto de venta poseen representacion exacta en ambos motores, lo que permite la clonacion inmediata de catalogos y la acumulacion de transacciones locales.</w:t>
      </w:r>
    </w:p>
    <w:p>
      <w:pPr>
        <w:pStyle w:val="Heading1"/>
        <w:spacing w:after="140" w:before="360"/>
      </w:pPr>
      <w:r>
        <w:t xml:space="preserve">2. Diccionario de Tablas Principales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Tabla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Primario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Proposito y Dominio de Negocio</w:t>
            </w:r>
          </w:p>
        </w:tc>
        <w:tc>
          <w:tcPr>
            <w:tcW w:type="pct" w:w="15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Clave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tenants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 Cloud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Cuentas comerciales y configuracion global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rut, razon_social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usuarios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Usuarios, cajeros y roles del sistema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rol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sucursales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Puntos de venta fisicos y bodegas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codigo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Catalogo maestro, SKUs, barras y costo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codigo_barra, precio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lotes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Trazabilidad de vencimiento y stock por lote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producto_id, fecha_venc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B2B, lead time y empaques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rut, lead_time_dias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ordenes_compra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Ordenes de abastecimiento sugeridas o emitidas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proveedor_id, 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sesiones_caja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Turnos de caja, fondo inicial y Balance Z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usuario_id, estado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movimientos_caja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Ingresos y retiros manuales de efectivo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sesion_id, monto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ventas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Cabecera de ventas y banderas offline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total, is_dirty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detalle_ventas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Lineas de articulos vendidos y precios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venta_id, subtotal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documentos_tributarios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DTEs legales (39, 41, 33, 52), TED y firma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folio, tipo_dte, ted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pagos_transacciones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 y vouchers comerciales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venta_id, metodo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facturas_proveedor_ingesta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Facturas B2B procesadas por OCR/XML (Cabecera)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rut_emisor, 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detalle_factura_ingresos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Lineas de compra, costo unitario, lotes y vencimiento (1:N)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factura_id, producto_id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configuraciones_tenant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de ganancia comercial y parametros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margen</w:t>
            </w:r>
          </w:p>
        </w:tc>
      </w:tr>
    </w:tbl>
    <w:p>
      <w:pPr>
        <w:pStyle w:val="Heading1"/>
        <w:spacing w:after="140" w:before="360"/>
      </w:pPr>
      <w:r>
        <w:t xml:space="preserve">3. Campos de Protocolo de Sincronizacion Offline-First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asegurar la consistencia eventual sin pérdida de transacciones, todas las tablas mutables en SQLite incorporan metadatos de sincronizacion: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is_dirty (INTEGER/BOOLEAN): 1 indica que el registro fue creado o modificado localmente y se encuentra pendiente de replicacion hacia la nube. 0 indica registro conciliado.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sync_attempts (INTEGER): Contador acumulativo de reintentos de transmision para deteccion de anomalias o dead letters.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sync_status (VARCHAR): Estados controlados: pending, synced,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updated_at (TIMESTAMP): Marca temporal de precision en milisegundos para resolucion determinista de conflictos (estrategia Last-Write-Wins).</w:t>
      </w:r>
    </w:p>
    <w:p>
      <w:pPr>
        <w:pStyle w:val="Heading1"/>
        <w:spacing w:after="140" w:before="360"/>
      </w:pPr>
      <w:r>
        <w:t xml:space="preserve">4. Integridad Referencial y Normativa Legal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 SQLite, la conexion se inicializa obligatoriamente con el comando PRAGMA foreign_keys = ON;, garantizando que ninguna venta o detalle viole las relaciones con productos o sesiones de caja existentes.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esquema respeta fielmente la legislacion chilena: calculo neto e IVA 19% desglosado, soporte de Timbre Electronico DTE (TED) segun formato XML estipulado por el SII y registro del ajuste por Ley de Redondeo (Ley N° 20.956).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2026-09-16T23:36:58.239Z</dcterms:created>
  <dcterms:modified xsi:type="dcterms:W3CDTF">2026-09-16T23:36:58.239Z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