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GESTOCK RETAIL &amp; SaaS CLOUD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284C7"/>
          <w:sz w:val="28"/>
          <w:szCs w:val="28"/>
        </w:rPr>
        <w:t xml:space="preserve">MODELO DE BASE DE DATOS Y PERSISTENCIA DUAL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Diccionario de Datos, Relaciones, Indices y Espejo Offline-First</w:t>
      </w:r>
    </w:p>
    <w:p>
      <w:pPr>
        <w:spacing w:after="260" w:before="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Version: 2.2.0 | Fecha: Septiembre 2026 | Estado: Produccion y Certificacion</w:t>
      </w:r>
    </w:p>
    <w:p>
      <w:pPr>
        <w:pStyle w:val="Heading1"/>
        <w:spacing w:after="140" w:before="360"/>
      </w:pPr>
      <w:r>
        <w:t xml:space="preserve">1. Estrategia de Persistencia Dual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GesTock implementa una arquitectura de persistencia simetrica entre PostgreSQL 16+ (nube) y SQLite 3 (borde local). Todas las entidades operativas del punto de venta poseen representacion exacta en ambos motores, lo que permite la clonacion inmediata de catalogos y la acumulacion de transacciones locales.</w:t>
      </w:r>
    </w:p>
    <w:p>
      <w:pPr>
        <w:pStyle w:val="Heading1"/>
        <w:spacing w:after="140" w:before="360"/>
      </w:pPr>
      <w:r>
        <w:t xml:space="preserve">2. Diccionario de Tablas Principales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de Tabla</w:t>
            </w:r>
          </w:p>
        </w:tc>
        <w:tc>
          <w:tcPr>
            <w:tcW w:type="pct" w:w="18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Motor Primario</w:t>
            </w:r>
          </w:p>
        </w:tc>
        <w:tc>
          <w:tcPr>
            <w:tcW w:type="pct" w:w="42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Proposito y Dominio de Negocio</w:t>
            </w:r>
          </w:p>
        </w:tc>
        <w:tc>
          <w:tcPr>
            <w:tcW w:type="pct" w:w="15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Campos Clave</w:t>
            </w:r>
          </w:p>
        </w:tc>
      </w:tr>
      <w:t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tenants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Postgres Cloud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Cuentas comerciales y configuracion global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id, rut, razon_social</w:t>
            </w:r>
          </w:p>
        </w:tc>
      </w:tr>
      <w:t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usuarios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Dual (PG + SQL)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Usuarios, cajeros y roles del sistema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id, tenant_id, rol</w:t>
            </w:r>
          </w:p>
        </w:tc>
      </w:tr>
      <w:t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sucursales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Dual (PG + SQL)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Puntos de venta fisicos y bodegas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id, tenant_id, codigo</w:t>
            </w:r>
          </w:p>
        </w:tc>
      </w:tr>
      <w:t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productos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Dual (PG + SQL)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Catalogo maestro, SKUs, barras y costo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id, codigo_barra, precio</w:t>
            </w:r>
          </w:p>
        </w:tc>
      </w:tr>
      <w:t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lotes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Dual (PG + SQL)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Trazabilidad de vencimiento y stock por lote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id, producto_id, fecha_venc</w:t>
            </w:r>
          </w:p>
        </w:tc>
      </w:tr>
      <w:t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proveedores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Dual (PG + SQL)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Proveedores B2B, lead time y empaques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id, rut, lead_time_dias</w:t>
            </w:r>
          </w:p>
        </w:tc>
      </w:tr>
      <w:t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ordenes_compra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Dual (PG + SQL)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Ordenes de abastecimiento sugeridas o emitidas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id, proveedor_id, total</w:t>
            </w:r>
          </w:p>
        </w:tc>
      </w:tr>
      <w:t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sesiones_caja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Dual (PG + SQL)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Turnos de caja, fondo inicial y Balance Z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id, usuario_id, estado</w:t>
            </w:r>
          </w:p>
        </w:tc>
      </w:tr>
      <w:t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movimientos_caja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Dual (PG + SQL)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Ingresos y retiros manuales de efectivo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id, sesion_id, monto</w:t>
            </w:r>
          </w:p>
        </w:tc>
      </w:tr>
      <w:t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ventas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Dual (PG + SQL)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Cabecera de ventas y banderas offline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id, total, is_dirty</w:t>
            </w:r>
          </w:p>
        </w:tc>
      </w:tr>
      <w:t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detalle_ventas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Dual (PG + SQL)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Lineas de articulos vendidos y precios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id, venta_id, subtotal</w:t>
            </w:r>
          </w:p>
        </w:tc>
      </w:tr>
      <w:t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documentos_tributarios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Dual (PG + SQL)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DTEs legales (39, 41, 33, 52), TED y firma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id, folio, tipo_dte, ted</w:t>
            </w:r>
          </w:p>
        </w:tc>
      </w:tr>
      <w:t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pagos_transacciones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Dual (PG + SQL)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Pasarelas de pago y vouchers comerciales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id, venta_id, metodo</w:t>
            </w:r>
          </w:p>
        </w:tc>
      </w:tr>
      <w:t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facturas_proveedor_ingesta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Dual (PG + SQL)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Facturas B2B procesadas por OCR/XML (Cabecera)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id, rut_emisor, total</w:t>
            </w:r>
          </w:p>
        </w:tc>
      </w:tr>
      <w:t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detalle_factura_ingresos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Dual (PG + SQL)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Lineas de compra, costo unitario, lotes y vencimiento (1:N)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id, factura_id, producto_id</w:t>
            </w:r>
          </w:p>
        </w:tc>
      </w:tr>
      <w:t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configuraciones_tenant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Dual (PG + SQL)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Margen de ganancia comercial y parametros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id, tenant_id, margen</w:t>
            </w:r>
          </w:p>
        </w:tc>
      </w:tr>
    </w:tbl>
    <w:p>
      <w:pPr>
        <w:pStyle w:val="Heading1"/>
        <w:spacing w:after="140" w:before="360"/>
      </w:pPr>
      <w:r>
        <w:t xml:space="preserve">3. Campos de Protocolo de Sincronizacion Offline-First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Para asegurar la consistencia eventual sin pérdida de transacciones, todas las tablas mutables en SQLite incorporan metadatos de sincronizacion: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is_dirty (INTEGER/BOOLEAN): 1 indica que el registro fue creado o modificado localmente y se encuentra pendiente de replicacion hacia la nube. 0 indica registro conciliado.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sync_attempts (INTEGER): Contador acumulativo de reintentos de transmision para deteccion de anomalias o dead letters.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sync_status (VARCHAR): Estados controlados: pending, synced, error.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updated_at (TIMESTAMP): Marca temporal de precision en milisegundos para resolucion determinista de conflictos (estrategia Last-Write-Wins).</w:t>
      </w:r>
    </w:p>
    <w:p>
      <w:pPr>
        <w:pStyle w:val="Heading1"/>
        <w:spacing w:after="140" w:before="360"/>
      </w:pPr>
      <w:r>
        <w:t xml:space="preserve">4. Integridad Referencial y Normativa Legal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En SQLite, la conexion se inicializa obligatoriamente con el comando PRAGMA foreign_keys = ON;, garantizando que ninguna venta o detalle viole las relaciones con productos o sesiones de caja existentes.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El esquema respeta fielmente la legislacion chilena: calculo neto e IVA 19% desglosado, soporte de Timbre Electronico DTE (TED) segun formato XML estipulado por el SII y registro del ajuste por Ley de Redondeo (Ley N° 20.956).</w:t>
      </w:r>
    </w:p>
    <w:p>
      <w:r>
        <w:rPr>
          <w:rFonts w:ascii="Calibri" w:hAnsi="Calibri"/>
          <w:b/>
          <w:sz w:val="26"/>
        </w:rPr>
        <w:t>5. Diagrama Entidad-Relacion</w:t>
      </w:r>
    </w:p>
    <w:p>
      <w:r>
        <w:rPr>
          <w:rFonts w:ascii="Calibri" w:hAnsi="Calibri"/>
          <w:sz w:val="21"/>
        </w:rPr>
        <w:t>El modelo se representa mediante un diagrama entidad-relacion en notacion Chen extendida, disponible en la misma carpeta de evidencias en dos formatos: "Diagrama Base De Datos.svg", que se visualiza directamente en el repositorio, y "Diagrama Base De Datos.mmd", que es su fuente editable en sintaxis Mermaid. Se acompana ademas de "Visor Diagrama.html" para consultarlo en un navegador sin herramientas adicionales.</w:t>
      </w:r>
    </w:p>
    <w:p>
      <w:r>
        <w:rPr>
          <w:rFonts w:ascii="Calibri" w:hAnsi="Calibri"/>
          <w:sz w:val="21"/>
        </w:rPr>
        <w:t>Mantener el diagrama como texto versionado, y no solo como imagen, permite que cada cambio del esquema quede registrado en el historial del repositorio con la misma trazabilidad que las migraciones, y que el diagrama no se desactualice respecto de la base de datos.</w:t>
      </w:r>
    </w:p>
    <w:p>
      <w:r>
        <w:rPr>
          <w:rFonts w:ascii="Calibri" w:hAnsi="Calibri"/>
          <w:sz w:val="21"/>
        </w:rPr>
        <w:t>El diagrama declara 22 relaciones entre 19 entidades. La tabla siguiente las enumera con su cardinalidad, tal como estan definidas en la fuente del diagrama.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b/>
                <w:sz w:val="18"/>
              </w:rPr>
              <w:t>Entidad origen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18"/>
              </w:rPr>
              <w:t>Cardinalidad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18"/>
              </w:rPr>
              <w:t>Entidad destino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18"/>
              </w:rPr>
              <w:t>Relacion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Planes Facturacion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Uno a muchos (0..N)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Tenants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asigna plan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Planes Facturacion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Uno a muchos (0..N)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Historial Planes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registra historial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Tenants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Uno a muchos (0..N)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Usuarios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agrupa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Tenants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Uno a muchos (0..N)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Historial Planes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posee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Tenants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Uno a muchos (0..N)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Configuracion Sistema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personaliza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Usuarios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Uno a muchos (0..N)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Notificaciones Tokens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genera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Tenants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Uno a muchos (0..N)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Proveedores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gestiona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Proveedores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Uno a muchos (0..N)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Catalogo Borradores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propone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Proveedores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Uno a muchos (0..N)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Factura Ingresos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emite a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Factura Ingresos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Uno a muchos (1..N)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Detalle Factura Ingresos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desglosa en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Productos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Uno a muchos (0..N)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Detalle Factura Ingresos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comprado en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Tenants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Uno a muchos (0..N)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Productos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posee catalogo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Proveedores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Uno a muchos (0..N)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Productos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proveedor principal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Productos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Uno a muchos (0..N)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Lotes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controla vencimiento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Productos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Uno a muchos (0..N)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Movimientos Inventario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audita stock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Movimientos Inventario Tipos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Uno a muchos (0..N)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Movimientos Inventario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clasifica origen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Usuarios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Uno a muchos (0..N)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Sesiones Caja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opera caja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Sesiones Caja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Uno a muchos (0..N)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Movimientos Caja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entradas salidas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Sesiones Caja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Uno a muchos (0..N)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Transacciones Venta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contiene ventas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Transacciones Venta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Uno a muchos (1..N)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Detalle Venta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desglosa en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Productos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Uno a muchos (0..N)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Detalle Venta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se vende en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8"/>
              </w:rPr>
              <w:t>Metodos Pago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Uno a muchos (0..N)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Transacciones Venta</w:t>
            </w:r>
          </w:p>
        </w:tc>
        <w:tc>
          <w:tcPr>
            <w:tcW w:type="dxa" w:w="2256"/>
          </w:tcPr>
          <w:p>
            <w:r/>
            <w:r>
              <w:rPr>
                <w:sz w:val="18"/>
              </w:rPr>
              <w:t>paga con</w:t>
            </w:r>
          </w:p>
        </w:tc>
      </w:tr>
    </w:tbl>
    <w:p>
      <w:r>
        <w:rPr>
          <w:rFonts w:ascii="Calibri" w:hAnsi="Calibri"/>
          <w:sz w:val="21"/>
        </w:rPr>
        <w:t>Las llaves primarias son identificadores universales (UUID en PostgreSQL, TEXT en SQLite) y las llaves foraneas se declaran con integridad referencial activa en ambos motores. El esquema emplea tres politicas de borrado, con 49 declaraciones en total: 36 ON DELETE CASCADE en las entidades dependientes de un comercio, de modo que la baja de una cuenta arrastra su informacion asociada; 7 ON DELETE RESTRICT donde la eliminacion comprometeria un registro ya emitido, como el plan de facturacion de un comercio activo, el tipo de un movimiento de inventario o el usuario que firmo una venta; y 6 ON DELETE SET NULL donde la referencia es informativa y su perdida no invalida el registro que la contiene.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2026-09-16T23:36:58.239Z</dcterms:created>
  <dcterms:modified xsi:type="dcterms:W3CDTF">2026-09-16T23:36:58.239Z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