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GESTOCK — MAPA MENTAL DE PROCESOS, FLUJOS Y ARQUITECTURA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Guía de Dominio de Extremo a Extremo para Análisis de Impacto y Cero Regresiones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Propósito Operativo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Este documento modela de forma exhaustiva los 10 procesos de negocio fundamentales de GesTock, abarcando desde la capa de presentación en React SPA hasta la persistencia dual transaccional (SQLite local y PostgreSQL Cloud). Constituye la referencia mandatoria para que el equipo de desarrollo e inteligencia artificial realice análisis de impacto previos y correcciones completas a nivel de contrato, esquema, lógica de dominio y pruebas unitarias.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Los 10 Procesos de Dominio de Extremo a Extremo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Proceso 1: Autenticación, Sesión y Control de Acceso (RBAC)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Flujo de Entrada: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/api/v1/auth/login valida credenciales con bcrypt.compareSync y emite JWT firmado (HS256, 24 horas).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Seguridad Perimetral: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rbacAuthMiddleware aplica política secure-by-default en producción y exige Bearer token. Discrimina rol cajero (6 vistas) vs admin (11 vistas).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Endpoints Clave: </w:t>
      </w:r>
      <w:r>
        <w:rPr>
          <w:rFonts w:ascii="Arial" w:cs="Arial" w:eastAsia="Arial" w:hAnsi="Arial"/>
          <w:color w:val="334155"/>
          <w:sz w:val="20"/>
          <w:szCs w:val="20"/>
        </w:rPr>
        <w:t>POST /auth/login, POST /auth/register (Admin), GET /auth/me, GET /auth/users, PUT /auth/password.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Persistencia &amp; Parche: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Tablas usuarios y tenants. El procedimiento patchExistingDatabaseFixes() normaliza hashes a Bcrypt 60c en el arranque.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Pruebas Asociadas: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tests_unitarias/backend/security_and_auth.unit.test.ts y backend/tests/integration/auth_endpoints.test.ts.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Proceso 2: Catálogo de Productos, Alta, Edición y Búsqueda EAN-13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Búsqueda Rápida: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GET /pos/products con índice B-Tree sobre codigo_barras responde en menos de 10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Alta Atómica: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/pos/products ejecuta withTransaction para insertar en productos y registrar alta_inicial en historial_stock.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Edición Parcial: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PUT /pos/products/:id aplica COALESCE para no sobrescribir con null los campos omitidos.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Simetría de Stock: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Todo ajuste (PATCH /stock) entrega de forma simétrica stock_nuevo y stock_actual.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Pruebas Asociadas: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backend/tests/integration/products_and_stock.test.ts y frontend_contract_rules.unit.test.ts.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Proceso 3: Turnos de Caja, Movimientos y Cierre Z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Apertura &amp; Movimientos: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/caja/abrir registra saldo inicial. POST /caja/movimiento registra ingresos y retiros de efectivo.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Arqueo Ciego: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/caja/cerrar ejecuta cuadratura: Esperado = Apertura + Ventas Efectivo + Ingresos - Egresos.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Segregación Estricta: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Pagos con tarjeta y transferencias RutPay se contabilizan fuera del efectivo físico.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Resolución Automática: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 se omite sesion_id, el backend resuelve la sesión abierta activa automáticamente.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Pruebas Asociadas: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backend/tests/integration/pricing_and_caja.test.ts y frontend_contract_rules.unit.test.ts.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Proceso 4: Checkout de Venta y Ley de Redondeo (Ley N° 20.956)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Ley de Redondeo: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Aplica estrictamente a pagos con EFECTIVO en CLP. Residuos 1-4 redondean abajo; 5-9 redondean arriba. Tarjetas y RutPay cobran monto exacto.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Latencia &amp; Atomicidad: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/pos/checkout bajo withTransaction en SQLite completa la venta, detalle y Kardex en menos de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Despacho de Pasarelas: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PaymentDispatcher gestiona cobros con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Pruebas Asociadas: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tests_unitarias/backend/pricing_and_rounding.unit.test.ts y backend/tests/integration/pos_checkout_and_kardex.test.ts.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Proceso 5: Devoluciones, Anulaciones y Notas de Crédito (Tipo 61)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Transacción de Reversa: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/pos/devolucion registra venta con total negativo, es_devolucion = 1 y enlace al ticket original.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Kardex de Retorno: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Reingreso de existencias registrado bajo tipo devolucion en historial_stock.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Emisión Tributaria: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Emisión formal de Nota de Crédito Electrónica Tipo 61 ante el SII para regularizar débito fiscal.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Pruebas Asociadas: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backend/tests/integration/pos_checkout_and_kardex.test.ts y frontend_contract_rules.unit.test.ts.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Proceso 6: Control de Mermas, Vencimientos y FEFO Sanitario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Baja Física Inmediata: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/pos/mermas descuenta existencias bajo tipo merma en Kardex y retorna stock_actual y stock_nuevo.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Trazabilidad Sanitaria: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GET /pos/vencimientos aplica ordenamiento FEFO (D.S. 977/96 MINSAL) con alertas cromáticas.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Pruebas Asociadas: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backend/tests/integration/merma_and_kardex.test.ts y products_and_stock.test.ts.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Proceso 7: Facturación Fiscal DTE (SII Chile)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Emisor Oficial Válido: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RUT 76.123.456-0 verificado por Módulo 11. Normalización automática en arranque y servicios.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B (Res. Exenta 176):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Ventas con tarjeta no emiten Boleta 39 para evitar doble débito fiscal. Ventas en efectivo sí emiten.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Timbre TED &amp; RCOF: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firma RSA y código bidimensional PDF417. Reporte diario RCOF y propuesta de F29 (19% IVA).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Pruebas Asociadas: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tests_unitarias/backend/dte_crypto_rules.unit.test.ts y dte_emission_and_caf.test.ts.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Proceso 8: Ingesta Inteligente de Facturas (Gemini OCR &amp; Anti-Mock)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Resiliencia Multimodal: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factura a Gemini 3.5 Flash (timeout 60s) con 3 reintentos ante 503/429.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Fallback Nativo: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 ChileanPdfDteExtractor local ante fallas de red.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Tolerancia Cero a Mock: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Prohibición absoluta de inventar facturas con MockOcr si existe API key o en producción (HTTP 422 honesto).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Confirmación Atómica: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/invoices/confirm crea productos/proveedor, actualiza stock y registra ingreso_factura en Kardex.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Pruebas Asociadas: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backend/tests/integration/invoice_ocr_ingestion.test.ts y ocr_resilience.test.ts.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Proceso 9: Reorden Predictivo Idempotente (ROP)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Cálculo Puro en Memoria: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GET /replenishment/suggest calcula ROP = V_d * L + SS de forma pura sin escribir en base de datos.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Persistencia Formal: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/replenishment/suggest inserta formalmente en purchase_orders y purchase_order_details.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Múltiplo de Empaque: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Ajuste automático de cantidades al empaque mínimo declarado por el proveedor.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Pruebas Asociadas: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tests_unitarias/backend/replenishment_math.unit.test.ts y replenishment_and_suppliers.test.ts.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Proceso 10: Resiliencia Offline-First, Circuit Breaker y Sync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Conmutación en 0 ms: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Ante 3 fallas o timeout &gt; 3000 ms en PostgreSQL, Circuit Breaker conmuta a SQLite sin bloquear al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Worker Asíncrono: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PosSyncEngine escanea transacciones con is_dirty = 1 cada 30s y envía lotes de hasta 50 a POST /sync/push.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Exponential Backoff: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Reintentos de sincronización con variación aleatoria (Full Jitter) para prevenir sobrecarga de red.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Pruebas Asociadas: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tests_unitarias/backend/circuit_breaker.unit.test.ts y pos_sync_engine.test.ts.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Matriz de Impacto Cruzado y Dependencias Aguas Abajo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Antes de modificar cualquier tabla o módulo, verificar el impacto en los procesos dependientes: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 / Entidad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Procesos Afectados</w:t>
            </w:r>
          </w:p>
        </w:tc>
        <w:tc>
          <w:tcPr>
            <w:tcW w:type="pct" w:w="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Reglas e Invariantes Críticas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productos / Stock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P2, P4, P6, P8, P9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Respuestas deben retornar stock_nuevo y stock_actual. Kardex obligatorio con los 6 tipos. PUT parcial debe usar COALESCE.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usuarios / 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P1, Toda la API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Secure-by-default en producción. Hashes Bcrypt de 60 caracteres. Registro exclusivo para Admin. Nunca exponer password_hash.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cierres_caja / 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P3, P4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Efectivo esperado = Apertura + Ventas Efectivo + Ingresos - Egresos. No computar tarjetas/RutPay como gaveta física.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sii_dte_emitidos / 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P4, P5, P7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RUT emisor 76.123.456-0 (Módulo 11). Modelo B no emite Boleta 39 en pagos con tarjeta. Respuestas con alias camelCase y snake_case.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factura_ingresos / OCR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P8, P2, P10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Cero datos ficticios en producción (error 422). Mantener columnas offline-first (is_dirty, sync_status, sync_attempts).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purchase_orders / ROP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P9, P8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/suggest debe ser función pura (cero escrituras). Solo POST persiste órdenes de compra. Respetar múltiplos de bulto.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Dual DB &amp; 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P10, P4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Latencia checkout &lt; 15ms. PRAGMA foreign_keys = ON. Switch a SQLite en 0 ms ante caída. Diagnóstico claro en health check.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Protocolo de Modificación de Código (5 Pasos Obligatorios)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Toda corrección o feature debe seguir rigurosamente los 5 pasos de aseguramiento de calidad: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Localización del Proceso: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Identificar en cuál de los 10 procesos de dominio se ubica el cambio solicitado.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Análisis de Impacto Aguas Abajo: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Revisar la Matriz de Impacto (§3) para listar tablas, rutas y servicios dependientes.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Modificación de Cadena Completa: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Actualizar simétricamente Front -&gt; Rutas -&gt; Servicios -&gt; Esquemas SQL sin romper contratos.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Ejecución de Baterías de Pruebas: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Ejecutar npm run test:unit:backend, npm run test:unit:frontend y npm test garantizando 100% PASS.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Actualización de Documentación Dual: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Reflejar cambios en docs/ (MD + DOCX), en la nota técnica de Obsidian y en el índice rápido.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2026-10-08T00:02:52.455Z</dcterms:created>
  <dcterms:modified xsi:type="dcterms:W3CDTF">2026-10-08T00:02:52.456Z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