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/auth/register y GET /auth/users. Asignación de rol (admin/cajero). Restringido a rol Admin bajo RBAC. Clave Bcrypt (salt 10, &gt;=8 chars). UNIQUE(tenant, 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Middleware de autenticación para la API v1 (excepto login). Secure-by-default en producción (NODE_ENV=production salvo AUTH_DISABLED=true); configurable con ENFORCE_AUTH=true en dev.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Tokens firmados (HS256, 24h), control de acceso por roles (cajero con 6 vistas vs admin con 11 vistas) implementado con jsonwebtoken. Política secure-by-default en producción (salvo AUTH_DISABLED=true) y configurable con ENFORCE_AUTH=true en dev.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Cada registro debe estar asociado a un tenant_id validado por middleware criptográfico.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Validada mediante 147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001-010):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6. Catálogo de Endpoints y Matriz de Trazabilidad (66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resumen los 66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confiabilidad de GesTock está respaldada por una batería automatizada en Jest con 183 pruebas ejecutadas con un 100% de éxito (147 de backend y 36 de frontend, complementadas con 99 verificaciones E2E).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Desarrollo en TypeScript estricto, 183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