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80"/>
        <w:jc w:val="center"/>
      </w:pPr>
      <w:r>
        <w:rPr>
          <w:rFonts w:ascii="Calibri" w:cs="Calibri" w:eastAsia="Calibri" w:hAnsi="Calibri"/>
          <w:b/>
          <w:bCs/>
          <w:color w:val="1E3A8A"/>
          <w:sz w:val="36"/>
          <w:szCs w:val="36"/>
        </w:rPr>
        <w:t xml:space="preserve">GESTOCK RETAIL &amp; SaaS CLOUD</w:t>
      </w:r>
    </w:p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olor w:val="0284C7"/>
          <w:sz w:val="28"/>
          <w:szCs w:val="28"/>
        </w:rPr>
        <w:t xml:space="preserve">EVIDENCIA DE PRUEBAS UNITARIAS Y DE ENDPOINTS</w:t>
      </w:r>
    </w:p>
    <w:p>
      <w:pPr>
        <w:spacing w:after="120" w:before="0"/>
        <w:jc w:val="center"/>
      </w:pPr>
      <w:r>
        <w:rPr>
          <w:rFonts w:ascii="Calibri" w:cs="Calibri" w:eastAsia="Calibri" w:hAnsi="Calibri"/>
          <w:i/>
          <w:iCs/>
          <w:color w:val="64748B"/>
          <w:sz w:val="21"/>
          <w:szCs w:val="21"/>
        </w:rPr>
        <w:t>Certificado de Auditoria Tecnica, Matriz de Pruebas Unitarias (216/216) e Integracion (87/87)</w:t>
      </w:r>
    </w:p>
    <w:p>
      <w:pPr>
        <w:spacing w:after="260" w:before="0"/>
        <w:jc w:val="center"/>
      </w:pPr>
      <w:r>
        <w:rPr>
          <w:rFonts w:ascii="Calibri" w:cs="Calibri" w:eastAsia="Calibri" w:hAnsi="Calibri"/>
          <w:color w:val="64748B"/>
          <w:sz w:val="18"/>
          <w:szCs w:val="18"/>
        </w:rPr>
        <w:t xml:space="preserve">Version: 2.2.0 | Fecha: Septiembre 2026 | Estado: Produccion y Certificacion</w:t>
      </w:r>
    </w:p>
    <w:p>
      <w:pPr>
        <w:pStyle w:val="Heading1"/>
        <w:spacing w:after="140" w:before="360"/>
      </w:pPr>
      <w:r>
        <w:t xml:space="preserve">1. Certificado de Ejecucion y Aprobacion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Se certifica que el sistema GesTock ha sido sometido a una bateria exhaustiva de pruebas unitarias automatizadas ejecutadas mediante Jest sobre el entorno Node.js / TypeScript, habiendo obtenido una tasa de aprobacion del 100% sin observaciones.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1F5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0"/>
                <w:szCs w:val="20"/>
              </w:rPr>
              <w:t xml:space="preserve">DICTAMEN DE AUDITORIA: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>Total Suites Unitarias: 16 aprobadas | Total Pruebas Unitarias: 216 aprobadas (0 fallidas) | Cobertura de Endpoints: 72/72 (100%).</w:t>
            </w:r>
          </w:p>
        </w:tc>
      </w:tr>
    </w:tbl>
    <w:p>
      <w:pPr>
        <w:pStyle w:val="Heading1"/>
        <w:spacing w:after="140" w:before="360"/>
      </w:pPr>
      <w:r>
        <w:t xml:space="preserve">2. Matriz Consolidada de Cobertura por Modulo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A continuacion se resume la distribucion de endpoints evaluados por dominio funcional, reflejando una aprobacion unanime del 100%: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6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Modulo / Dominio</w:t>
            </w:r>
          </w:p>
        </w:tc>
        <w:tc>
          <w:tcPr>
            <w:tcW w:type="pct" w:w="14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N° Endpoints</w:t>
            </w:r>
          </w:p>
        </w:tc>
        <w:tc>
          <w:tcPr>
            <w:tcW w:type="pct" w:w="42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Rango de Endpoints Evaluados</w:t>
            </w:r>
          </w:p>
        </w:tc>
        <w:tc>
          <w:tcPr>
            <w:tcW w:type="pct" w:w="18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Estado de Cobertura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Core &amp; Sistema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 /health, GET /api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Caja &amp; Balance Z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6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Apertura, Resumen, Movimientos, Cierre, Historial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Configuracion &amp; Margen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Margen comercial de ganancia y correo alertas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Dashboard Ejecutivo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KPIs ejecutivos, inventario y ventas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Facturacion DTE / SII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16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Config, CAF, Emision 39/41/33/52, RCOF, F29, Certificacion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Ingesta de Facturas OCR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7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Escaneo, confirmacion, ingesta, catalogo, cola offline, reintento y respaldo documental de la compra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Tendencias de Demanda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Sincronizacion, tendencias globales y por tenant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Pasarelas de Pago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Inicio, confirmacion y consulta por venta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Punto de Venta (POS)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15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Productos, estado, checkout, stock, vencimientos, alta y edicion de productos, ajuste de conteo, mermas e historiales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Reabastecimiento ROP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Velocidad diaria, sugerencias ROP, emision y envio OC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Proveedores B2B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Directorio, creacion y actualizacion lead times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Sincronizacion Nube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Push de pendientes locales y pull de catalogo cloud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Autenticacion &amp; Personal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5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Login JWT, sesion activa, nomina de personal, registro de cajeros y rotacion de clave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100% PASSED</w:t>
            </w:r>
          </w:p>
        </w:tc>
      </w:tr>
      <w:tr>
        <w:tc>
          <w:tcPr>
            <w:tcW w:type="pct" w:w="26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TOTAL CONSOLIDADO</w:t>
            </w:r>
          </w:p>
        </w:tc>
        <w:tc>
          <w:tcPr>
            <w:tcW w:type="pct" w:w="14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>72</w:t>
            </w:r>
          </w:p>
        </w:tc>
        <w:tc>
          <w:tcPr>
            <w:tcW w:type="pct" w:w="42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>100% de los endpoints testeados en all_endpoints.unit.test.ts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100% PASSED</w:t>
            </w:r>
          </w:p>
        </w:tc>
      </w:tr>
    </w:tbl>
    <w:p>
      <w:pPr>
        <w:pStyle w:val="Heading1"/>
        <w:spacing w:after="140" w:before="360"/>
      </w:pPr>
      <w:r>
        <w:t>3. Detalle Individual de los 72 Endpoints Verificados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A continuacion se documenta la ejecucion y validacion individual de cada endpoint del backend en tests_unitarias/all_endpoints.unit.test.ts: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6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pct" w:w="12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Metodo</w:t>
            </w:r>
          </w:p>
        </w:tc>
        <w:tc>
          <w:tcPr>
            <w:tcW w:type="pct" w:w="42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pct" w:w="18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Codigo HTTP</w:t>
            </w:r>
          </w:p>
        </w:tc>
        <w:tc>
          <w:tcPr>
            <w:tcW w:type="pct" w:w="22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/health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/api/v1/caja/abrir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/api/v1/caja/resumen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/api/v1/caja/movimiento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6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/api/v1/caja/movimientos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7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/api/v1/caja/cerrar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8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/api/v1/caja/historial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9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/api/v1/config/margin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10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/api/v1/config/margin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11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/api/v1/config/email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12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/api/v1/config/email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13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/api/v1/dashboard/overview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14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/api/v1/dte/config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15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/api/v1/dte/config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16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/api/v1/dte/caf/status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17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/api/v1/dte/caf/upload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18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/api/v1/dte/emit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19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/api/v1/dte/list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/api/v1/dte/:id/xml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21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/api/v1/dte/:id/receipt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22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/api/v1/dte/rcof/generate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23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/api/v1/dte/rcof/list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24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/api/v1/dte/certification/run-set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25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/api/v1/dte/send-email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26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/api/v1/dte/f29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27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/api/v1/dte/guias/emitir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28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/api/v1/dte/guias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29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/api/v1/dte/backup/export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30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/api/v1/invoices/scan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31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/api/v1/invoices/confirm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32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/api/v1/invoices/ingest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33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/api/v1/invoices/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34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/api/v1/trends/sync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35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/api/v1/trends/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36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/api/v1/trends/:tenantId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37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/api/v1/payments/initiate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38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/api/v1/payments/confirm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39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/api/v1/payments/sale/:saleId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40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/api/v1/pos/products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41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/api/v1/pos/status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42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/api/v1/pos/checkout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43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/api/v1/pos/sync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44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/api/v1/pos/inventory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45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/api/v1/pos/vencimientos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46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/api/v1/pos/transactions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47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/api/v1/pos/devolucion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48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/api/v1/replenishment/velocity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49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/api/v1/replenishment/suggest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50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/api/v1/replenishment/suggest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51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/api/v1/replenishment/send-email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52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/api/v1/replenishment/purchase-orders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53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/api/v1/suppliers/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54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/api/v1/suppliers/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55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PUT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/api/v1/suppliers/:id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56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/api/v1/sync/push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57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/api/v1/sync/pull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58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/api/v1/pos/products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59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PUT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/api/v1/pos/products/:id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60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PATCH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/api/v1/pos/products/:id/stock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61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/api/v1/pos/mermas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62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/api/v1/pos/mermas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63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/api/v1/pos/stock-history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64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/api/v1/pos/products/:id/history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65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/api/v1/auth/login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66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/api/v1/auth/me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67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/api/v1/auth/users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68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/api/v1/auth/register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69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PUT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/api/v1/auth/password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70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/api/v1/invoices/pending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71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/api/v1/invoices/process-pending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72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/api/v1/invoices/:id/document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</w:tbl>
    <w:p>
      <w:pPr>
        <w:pStyle w:val="Heading1"/>
        <w:spacing w:after="140" w:before="360"/>
      </w:pPr>
      <w:r>
        <w:t xml:space="preserve">4. Resumen de Pruebas Unitarias de Negocio y Seguridad (30 Tests)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>Complementando los 72 endpoints, las siguientes suites unitarias especializadas en tests_unitarias/ validan la robustez interna: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security_and_auth.unit.test.ts (7 tests): Validacion de formato tenant seguro, bloqueo de inyeccion SQL, validacion de API Key para integraciones y sanitizacion de stack traces en respuestas de error.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circuit_breaker.unit.test.ts (5 tests): Inicializacion en CLOSED, transicion inmediata a OPEN ante falla de red, latencia de rechazo &lt; 2ms y recuperacion limpia con resetCircuit.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pricing_and_rounding.unit.test.ts (7 tests): Cumplimiento estricto Ley 20.956 (redondeo a decena inferior y superior), desglose de IVA 19% neto/bruto y aplicacion de margen de ganancia comercial.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dte_crypto_rules.unit.test.ts (5 tests): Firma digital RSA-SHA1 de Timbre Electronico DTE (TED), validacion de esquemas XML segun estandar SII y manejo de llaves CAF.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replenishment_math.unit.test.ts (6 tests): Calculo de velocidad diaria, determinacion matematica de ROP, ajuste de pedidos a multiplo de bulto y deteccion de stock critico.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2026-09-16T23:36:58.290Z</dcterms:created>
  <dcterms:modified xsi:type="dcterms:W3CDTF">2026-09-16T23:36:58.290Z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