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B493" w14:textId="77777777" w:rsidR="00E81CC4" w:rsidRDefault="002414F2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E3A8A"/>
          <w:sz w:val="32"/>
          <w:szCs w:val="32"/>
        </w:rPr>
        <w:t>GESTOCK — INFORME TÉCNICO DE EVALUACIÓN Y EVIDENCIAS</w:t>
      </w:r>
    </w:p>
    <w:p w14:paraId="59664414" w14:textId="77777777" w:rsidR="00E81CC4" w:rsidRDefault="002414F2">
      <w:pPr>
        <w:spacing w:before="60" w:after="300"/>
        <w:jc w:val="center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Batería Completa de Pruebas Automatizadas del Backend (Integración &amp; Unitarias)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9"/>
        <w:gridCol w:w="6647"/>
      </w:tblGrid>
      <w:tr w:rsidR="00E81CC4" w14:paraId="02419A9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4E9F33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3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E4749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Detalle Oficial de Auditoría</w:t>
            </w:r>
          </w:p>
        </w:tc>
      </w:tr>
      <w:tr w:rsidR="00E81CC4" w14:paraId="6FD70B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4F30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Proyecto: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CB27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GesTock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— Predictive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Inventory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Management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System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(Cloud SaaS &amp; POS Offline-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First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</w:t>
            </w:r>
          </w:p>
        </w:tc>
      </w:tr>
      <w:tr w:rsidR="00E81CC4" w14:paraId="329217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49EF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Área Responsable: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2131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Ingeniería de Software &amp; Backend Core (Node.js, TypeScript, Express, PostgreSQL, SQLite)</w:t>
            </w:r>
          </w:p>
        </w:tc>
      </w:tr>
      <w:tr w:rsidR="00E81CC4" w14:paraId="0CC33B4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460D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Fecha de Emisión:</w:t>
            </w:r>
          </w:p>
        </w:tc>
        <w:tc>
          <w:tcPr>
            <w:tcW w:w="3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46569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07 de 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Octubre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2026</w:t>
            </w:r>
          </w:p>
        </w:tc>
      </w:tr>
      <w:tr w:rsidR="00E81CC4" w14:paraId="74A59EE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6976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Pruebas de Integración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ACDC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87 de 87 pruebas aprobadas (15 suites, 100% PASS Rate)</w:t>
            </w:r>
          </w:p>
        </w:tc>
      </w:tr>
      <w:tr w:rsidR="00E81CC4" w14:paraId="44DB7EA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D68D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Pruebas Unitarias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CF6F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205 de 205 pruebas aprobadas (6 suites, 100% PASS Rate)</w:t>
            </w:r>
          </w:p>
        </w:tc>
      </w:tr>
      <w:tr w:rsidR="00E81CC4" w14:paraId="6E21DAE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5CDF7" w14:textId="77777777" w:rsidR="00E81CC4" w:rsidRDefault="002414F2"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Exclusivo Backend: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0B50A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292 pruebas automatizadas (31 suites, 100% PASS Global) · 0 Fallas</w:t>
            </w:r>
          </w:p>
        </w:tc>
      </w:tr>
      <w:tr w:rsidR="00E81CC4" w14:paraId="1E0E037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8A225" w14:textId="77777777" w:rsidR="00E81CC4" w:rsidRDefault="002414F2"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Total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General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Jest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(con Frontend):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13C9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303 pruebas aprobadas (31 suites Jest, 100% PASS Rate)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</w:r>
          </w:p>
        </w:tc>
      </w:tr>
      <w:tr w:rsidR="00E81CC4" w14:paraId="2200A73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A8805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Dictamen de Auditoría:</w:t>
            </w:r>
          </w:p>
        </w:tc>
        <w:tc>
          <w:tcPr>
            <w:tcW w:w="3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070B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APROBADO Y CERTIFICADO SIN OBSERVACIONES PARA PRODUCCIÓN LOCAL</w:t>
            </w:r>
          </w:p>
        </w:tc>
      </w:tr>
    </w:tbl>
    <w:p w14:paraId="0E1B0208" w14:textId="77777777" w:rsidR="00E81CC4" w:rsidRDefault="00E81CC4">
      <w:pPr>
        <w:spacing w:after="300"/>
      </w:pPr>
    </w:p>
    <w:p w14:paraId="3D29B0B8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1. Resumen Ejecutivo</w:t>
      </w:r>
    </w:p>
    <w:p w14:paraId="036D4516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presente informe documenta la verificación exhaustiva de la batería de pruebas automatizadas del Backend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. La suite evalúa en profundidad la robustez de la arquitectura híbrida Dual-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Database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, los motores de sincronización con tolerancia a fall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os, el cumplimiento riguroso de las leyes tributarias chilenas (SII y Ley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N°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20.956) y la seguridad criptográfica del sistema.</w:t>
      </w:r>
    </w:p>
    <w:p w14:paraId="11FFFFF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Principales pilares técnicos auditados:</w:t>
      </w:r>
    </w:p>
    <w:p w14:paraId="250C39B8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Persistencia Dual &amp; ACID: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Garantía de transaccionalidad atómica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withTransaction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y persistencia dual entre PostgreSQL Cloud y SQLite Edge POS.</w:t>
      </w:r>
    </w:p>
    <w:p w14:paraId="610F1325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Cumplimiento Tributario Chileno: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Módulo 11 en RUT del emisor (76.123.456-0), prevención de doble tributación (Res. Ex.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N°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176), timbre el</w:t>
      </w:r>
      <w:r>
        <w:rPr>
          <w:rFonts w:ascii="Calibri" w:eastAsia="Calibri" w:hAnsi="Calibri" w:cs="Calibri"/>
          <w:color w:val="1E293B"/>
          <w:sz w:val="21"/>
          <w:szCs w:val="21"/>
        </w:rPr>
        <w:t>ectrónico TED con firma RSA y ley de redondeo en efectivo.</w:t>
      </w:r>
    </w:p>
    <w:p w14:paraId="1A5E6157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Resiliencia Offline-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First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Circuit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Breaker con respuesta en caliente &lt;2ms, algoritmo de reintentos con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Backoff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Exponencial +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Jitter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y resolución de conflictos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Last-Write-Wins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(LWW).</w:t>
      </w:r>
    </w:p>
    <w:p w14:paraId="31C8F37D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Inteligencia de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Stock &amp; OCR: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Fórmulas predictivas de Punto de Reorden (ROP), stock de seguridad y extracción DTE nativa (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ChileanPdfDteExtractor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sin alucinación de datos.</w:t>
      </w:r>
    </w:p>
    <w:p w14:paraId="0531D4AF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Seguridad Criptográfica &amp; RBAC: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Hashes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Bcrypt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reales de 60 caracteres (costo 10), autenticación JWT 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perimetral, respuesta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anti-enumeración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401 y middleware de control de acceso RBAC.</w:t>
      </w:r>
    </w:p>
    <w:p w14:paraId="63B901FB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2. Cobertura Detallada de Pruebas de Integración Backend (backend/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integration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4B8DF42B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Las 15 suites de integración evalúan el funcionamiento coordinado de controladores, ser</w:t>
      </w:r>
      <w:r>
        <w:rPr>
          <w:rFonts w:ascii="Calibri" w:eastAsia="Calibri" w:hAnsi="Calibri" w:cs="Calibri"/>
          <w:color w:val="1E293B"/>
          <w:sz w:val="21"/>
          <w:szCs w:val="21"/>
        </w:rPr>
        <w:t>vicios de dominio y persistencia real en memoria: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8"/>
        <w:gridCol w:w="2531"/>
        <w:gridCol w:w="839"/>
        <w:gridCol w:w="840"/>
        <w:gridCol w:w="3498"/>
      </w:tblGrid>
      <w:tr w:rsidR="00E81CC4" w14:paraId="681C08F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CE45F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1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1E6AD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B76B5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B5BAF9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9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2A54A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Dominio y Funcionalidad Evaluada</w:t>
            </w:r>
          </w:p>
        </w:tc>
      </w:tr>
      <w:tr w:rsidR="00E81CC4" w14:paraId="65EEF72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1843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01. Autenticación REST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8FAB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auth_endpoints.test.ts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6C05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21 / 21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E2B4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F939E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Login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emite JWT; bloqueo 401 sin token o token adulterado; registro admin; sanitización de hash; /me, 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users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respuesta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anti-enumeración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unificada.</w:t>
            </w:r>
          </w:p>
        </w:tc>
      </w:tr>
      <w:tr w:rsidR="00E81CC4" w14:paraId="485698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C7C72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 xml:space="preserve">02. Retail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Chileno</w:t>
            </w:r>
            <w:proofErr w:type="gram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EDCC1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chilean_retail_compliance.test.ts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B7D2E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3767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5493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Ley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20.956 (redondeo a decena en efectivo), vuelto exacto, cálculo de IVA Débito Fiscal (19%) y coherencia con terminales POS.</w:t>
            </w:r>
          </w:p>
        </w:tc>
      </w:tr>
      <w:tr w:rsidR="00E81CC4" w14:paraId="0A196FC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43D7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03. Persistencia Dual ACID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56BA1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dual_persistence_acid.test.ts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E2FF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208B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632D8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Transaccionalidad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withTransaction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atómica, aislamiento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multi-tenant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estricto,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rollback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automático y espejo SQLite/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pg-mem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107C9A9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E2AB2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POS End-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to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-End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641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frontend_pos_e2e.test.ts</w:t>
            </w:r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5AD8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F18E5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4ABE8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Ciclo completo de venta desde escaneo, cálculo de descuentos, emisión tributaria, deducción atómica de existencias y auditoría.</w:t>
            </w:r>
          </w:p>
        </w:tc>
      </w:tr>
      <w:tr w:rsidR="00E81CC4" w14:paraId="6F524F8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2456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05. Ingesta Facturas OCR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D5802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invoice_ocr_ingestion.test.ts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D62B8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0BBF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4828CE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Ingesta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PDFs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tributarios; extracción de folio, RUT prov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eedor, neto, IVA y total con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ChileanPdfDteExtractor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; alta automática a compras.</w:t>
            </w:r>
          </w:p>
        </w:tc>
      </w:tr>
      <w:tr w:rsidR="00E81CC4" w14:paraId="075587B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C124E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06. Tendencias Demanda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1F40E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market_trends.test.ts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ECAF2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0749F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EA0A4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Sincronización de índices de mercado externos, series temporales de precios y cálculo de factores de estacionalidad.</w:t>
            </w:r>
          </w:p>
        </w:tc>
      </w:tr>
      <w:tr w:rsidR="00E81CC4" w14:paraId="1BCF0C3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49D5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07. Pasarelas de Pago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62533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payment_gateways.test.ts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DDC75A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5BFE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F021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Despachador polimórfico (Transbank Webpay, MercadoPago,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SumUp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CuentaRUT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/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RutPay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); segregación contable frente al efectivo.</w:t>
            </w:r>
          </w:p>
        </w:tc>
      </w:tr>
      <w:tr w:rsidR="00E81CC4" w14:paraId="150A901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52D4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08. Esquema PostgreSQL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670E1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postgres_schema.test.ts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5463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3D46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8F34C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Verificación de 30 tablas relacionales persistentes; integridad referen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cial FK (ON DELETE RESTRICT/CASCADE), UUID e índices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2D0D294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58D6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09. Reabastecimiento ROP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4E8F37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predictive_replenishment.test.ts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9394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71BD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469D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Velocidad diaria de venta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), punto de reorden ROP =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+ SS, órdenes de compra automáticas y notificación a proveedores.</w:t>
            </w:r>
          </w:p>
        </w:tc>
      </w:tr>
      <w:tr w:rsidR="00E81CC4" w14:paraId="3507B9F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68B1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10. Precios &amp; Cierre Caja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412C8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pricing_and_caja.test.ts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91597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34AF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0063F7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Apertura de turno de caja, movimientos de efectivo, arqueo ci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ego, cuadre matemático de Balance Z y margen por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5060F3B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7644A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11. Cumplimiento SII DTE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36652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sii_compliance_and_dte.test.ts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93A7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4EFE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24306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Módulo 11 en RUT emisor (76.123.456-0), asignación de folios CAF, firma digital XML &lt;TED&gt;, reportes RCOF y F29, y set de pruebas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SII.</w:t>
            </w:r>
          </w:p>
        </w:tc>
      </w:tr>
      <w:tr w:rsidR="00E81CC4" w14:paraId="6983288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3BF8D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12. Esquema SQLite Espejo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863E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sqlite_schema.test.ts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D936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C7AE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401B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Espejo de tablas en SQLite local, PRAGMA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foreign_keys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ON obligatorio, marcado de registros sucios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is_dirty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sync_attempts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).</w:t>
            </w:r>
          </w:p>
        </w:tc>
      </w:tr>
      <w:tr w:rsidR="00E81CC4" w14:paraId="028D01A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B72C8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13. Resiliencia &amp;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Backoff</w:t>
            </w:r>
            <w:proofErr w:type="spell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33C3DA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sync_backoff_resiliency.test.ts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D84B8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4 / 4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0970D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BCF50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Circuit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Breaker (CLOSED/OPEN/HALF_OPEN), rechazo en frío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&lt;2ms,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Backoff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Exponencial con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Jitter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para evitar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thundering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herd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</w:t>
            </w:r>
          </w:p>
        </w:tc>
      </w:tr>
      <w:tr w:rsidR="00E81CC4" w14:paraId="3C87B6F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582D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14. Resolución Conflictos</w:t>
            </w:r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85E45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sync_conflict_resolution.test.ts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585D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B431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8E075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Resolución determinista de ediciones concurrentes nube-local; política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Last-Write-Wins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(LWW) y auditoría de conflictos.</w:t>
            </w:r>
          </w:p>
        </w:tc>
      </w:tr>
      <w:tr w:rsidR="00E81CC4" w14:paraId="66654B4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828F4C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15. Motor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Sync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Push</w:t>
            </w:r>
            <w:proofErr w:type="spellEnd"/>
          </w:p>
        </w:tc>
        <w:tc>
          <w:tcPr>
            <w:tcW w:w="11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03C96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sync_engine_push.test.ts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E1287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DB807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9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BC6C6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Procesamiento por lotes de cola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sync_queue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push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transaccional de ventas y 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tock a la nube, y limpieza de marcas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is_dirty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0.</w:t>
            </w:r>
          </w:p>
        </w:tc>
      </w:tr>
    </w:tbl>
    <w:p w14:paraId="5706E413" w14:textId="77777777" w:rsidR="00E81CC4" w:rsidRDefault="00E81CC4">
      <w:pPr>
        <w:spacing w:after="200"/>
      </w:pPr>
    </w:p>
    <w:p w14:paraId="3E688698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3. Cobertura Detallada de Pruebas Unitarias Backend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/backend/)</w:t>
      </w:r>
    </w:p>
    <w:p w14:paraId="4B0038F4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Las 6 suites unitarias operan de forma 100% aislada con ejecución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ultra-rápida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(~3.5 segundos):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9"/>
        <w:gridCol w:w="2555"/>
        <w:gridCol w:w="881"/>
        <w:gridCol w:w="881"/>
        <w:gridCol w:w="3160"/>
      </w:tblGrid>
      <w:tr w:rsidR="00E81CC4" w14:paraId="70F88325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5CA45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Suite</w:t>
            </w:r>
          </w:p>
        </w:tc>
        <w:tc>
          <w:tcPr>
            <w:tcW w:w="12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DACE8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Archivo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F1314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Casos</w:t>
            </w:r>
          </w:p>
        </w:tc>
        <w:tc>
          <w:tcPr>
            <w:tcW w:w="5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BB518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Estado</w:t>
            </w:r>
          </w:p>
        </w:tc>
        <w:tc>
          <w:tcPr>
            <w:tcW w:w="1700" w:type="pct"/>
            <w:shd w:val="clear" w:color="auto" w:fill="0F172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F107E" w14:textId="77777777" w:rsidR="00E81CC4" w:rsidRDefault="002414F2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Contratos y Lógica Validados</w:t>
            </w:r>
          </w:p>
        </w:tc>
      </w:tr>
      <w:tr w:rsidR="00E81CC4" w14:paraId="7C91407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C0653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lastRenderedPageBreak/>
              <w:t xml:space="preserve">01. Catálogo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Endpoints</w:t>
            </w:r>
            <w:proofErr w:type="spellEnd"/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B5694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all_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endpoints.unit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516A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57 / 57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1CE1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B4921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100% de cobertura del catálogo (72 endpoints REST probados con Express en memoria). Valida códigos 200, 201, 400 y 404, headers y respuestas JSON.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</w:r>
          </w:p>
        </w:tc>
      </w:tr>
      <w:tr w:rsidR="00E81CC4" w14:paraId="77BB455E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402E1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02. Seguridad, JWT &amp; RBAC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F5B29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security_and_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auth.unit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9239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35 / 35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8114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BC96D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Hashes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Bcrypt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de 60 caracteres reales (costo 10); emisión/verificación JWT; RBAC (bloqueo 403 a cajero en rutas admin); sanitización de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Tenant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ID.</w:t>
            </w:r>
          </w:p>
        </w:tc>
      </w:tr>
      <w:tr w:rsidR="00E81CC4" w14:paraId="6D3EE45D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12134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03. Precios &amp; Redondeo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43C40C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pricing_and_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rounding.unit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4D96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7 / 7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4099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1F91F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Ley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20.956 (redondeo a la decena s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egún dígito terminal 1-4 abajo, 5-9 arriba, 0 neutro); cálculo comercial con margen; desglose exacto de IVA (19%).</w:t>
            </w:r>
          </w:p>
        </w:tc>
      </w:tr>
      <w:tr w:rsidR="00E81CC4" w14:paraId="0FCA5E5A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BB64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04. Matemáticas ROP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1C8A40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replenishment_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math.unit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08587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6 / 6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3F627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B026B9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Velocidad diaria de venta (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= unidades / días); Punto de Reorden (ROP =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Vd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*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Lt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+ SS); umbral de compra; ajuste hacia múltiplos de bulto mínimo.</w:t>
            </w:r>
          </w:p>
        </w:tc>
      </w:tr>
      <w:tr w:rsidR="00E81CC4" w14:paraId="51C13CDB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25FAF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05.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Circuit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 xml:space="preserve"> Breaker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DB73B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circuit_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breaker.unit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1B3989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B1436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3347B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Estados CLOSED, OPEN y HALF_OPEN; disparo ant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e error; discriminación de fallo en &lt;2ms sin retardo de red;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reset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y bypass hacia SQLite local.</w:t>
            </w:r>
          </w:p>
        </w:tc>
      </w:tr>
      <w:tr w:rsidR="00E81CC4" w14:paraId="1D8D25E9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8863B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06. DTE, TED &amp; Res. 176</w:t>
            </w:r>
          </w:p>
        </w:tc>
        <w:tc>
          <w:tcPr>
            <w:tcW w:w="12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27C1E" w14:textId="77777777" w:rsidR="00E81CC4" w:rsidRDefault="002414F2"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dte_crypto_</w:t>
            </w:r>
            <w:proofErr w:type="gram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rules.unit</w:t>
            </w:r>
            <w:proofErr w:type="gram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.test.ts</w:t>
            </w:r>
            <w:proofErr w:type="spellEnd"/>
          </w:p>
        </w:tc>
        <w:tc>
          <w:tcPr>
            <w:tcW w:w="5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08050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E293B"/>
                <w:sz w:val="17"/>
                <w:szCs w:val="17"/>
              </w:rPr>
              <w:t>5 / 5</w:t>
            </w:r>
          </w:p>
        </w:tc>
        <w:tc>
          <w:tcPr>
            <w:tcW w:w="500" w:type="pct"/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748BE" w14:textId="77777777" w:rsidR="00E81CC4" w:rsidRDefault="002414F2">
            <w:r>
              <w:rPr>
                <w:rFonts w:ascii="Calibri" w:eastAsia="Calibri" w:hAnsi="Calibri" w:cs="Calibri"/>
                <w:b/>
                <w:bCs/>
                <w:color w:val="15803D"/>
                <w:sz w:val="17"/>
                <w:szCs w:val="17"/>
              </w:rPr>
              <w:t>100% OK</w:t>
            </w:r>
          </w:p>
        </w:tc>
        <w:tc>
          <w:tcPr>
            <w:tcW w:w="1700" w:type="pct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E6608" w14:textId="77777777" w:rsidR="00E81CC4" w:rsidRDefault="002414F2"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Códigos DTE oficiales SII (33, 39, 41, 52, 61); Res. Exenta </w:t>
            </w:r>
            <w:proofErr w:type="spellStart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N°</w:t>
            </w:r>
            <w:proofErr w:type="spellEnd"/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 xml:space="preserve"> 176 (Modelo A emite todo, Mo</w:t>
            </w:r>
            <w:r>
              <w:rPr>
                <w:rFonts w:ascii="Calibri" w:eastAsia="Calibri" w:hAnsi="Calibri" w:cs="Calibri"/>
                <w:color w:val="1E293B"/>
                <w:sz w:val="17"/>
                <w:szCs w:val="17"/>
              </w:rPr>
              <w:t>delo B no emite boleta 39 en tarjetas); estructura XML &lt;TED&gt;.</w:t>
            </w:r>
          </w:p>
        </w:tc>
      </w:tr>
    </w:tbl>
    <w:p w14:paraId="4AF42FCA" w14:textId="77777777" w:rsidR="00E81CC4" w:rsidRDefault="00E81CC4">
      <w:pPr>
        <w:spacing w:after="200"/>
      </w:pPr>
    </w:p>
    <w:p w14:paraId="14DA318D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4. Segregación Estructural de Pruebas Unitarias (</w:t>
      </w:r>
      <w:proofErr w:type="spellStart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/)</w:t>
      </w:r>
    </w:p>
    <w:p w14:paraId="11ABA78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Para garantizar el principio de responsabilidad única y desacoplar las pruebas de servidor de las reglas de contrato pactadas con el frontend, la carpeta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/ fue reestructurada modularmente:</w:t>
      </w:r>
    </w:p>
    <w:p w14:paraId="0147579E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tests_unitarias/backend/: Contiene 15 suites exclusivas con 205 pruebas enfocadas en criptografía, resiliencia offline, algoritmos predictivos y los 72 endpoints REST del catálogo.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28F8ECE4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tests_unitarias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/frontend/: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Contiene la suite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frontend_contract_</w:t>
      </w:r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rules.unit</w:t>
      </w:r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.test.ts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con 11 pruebas enfocadas en Módulo 11 (76.123.456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-0), arqueo de caja con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aislado y trazabilidad cronológica de stock.</w:t>
      </w:r>
    </w:p>
    <w:p w14:paraId="70A4ABE9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Configuración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Configuración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Jest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unificada que ejecuta ambas carpetas o de forma segregada mediante scripts dedicados en </w:t>
      </w:r>
      <w:proofErr w:type="spellStart"/>
      <w:proofErr w:type="gramStart"/>
      <w:r>
        <w:rPr>
          <w:rFonts w:ascii="Calibri" w:eastAsia="Calibri" w:hAnsi="Calibri" w:cs="Calibri"/>
          <w:color w:val="1E293B"/>
          <w:sz w:val="21"/>
          <w:szCs w:val="21"/>
        </w:rPr>
        <w:t>package.json</w:t>
      </w:r>
      <w:proofErr w:type="spellEnd"/>
      <w:proofErr w:type="gramEnd"/>
      <w:r>
        <w:rPr>
          <w:rFonts w:ascii="Calibri" w:eastAsia="Calibri" w:hAnsi="Calibri" w:cs="Calibri"/>
          <w:color w:val="1E293B"/>
          <w:sz w:val="21"/>
          <w:szCs w:val="21"/>
        </w:rPr>
        <w:t>.</w:t>
      </w:r>
    </w:p>
    <w:p w14:paraId="7864011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Comandos de ejecución por ámbito:</w:t>
      </w:r>
    </w:p>
    <w:p w14:paraId="2F8BBAAF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:backend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las 15 suites de backend (205 pruebas)</w:t>
      </w:r>
    </w:p>
    <w:p w14:paraId="1E859CE0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:frontend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la suite de reglas frontend (11 pruebas)</w:t>
      </w:r>
    </w:p>
    <w:p w14:paraId="06DFF3ED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spellEnd"/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Ejecuta todas las pruebas unitarias consolidadas (216 pruebas)</w:t>
      </w:r>
    </w:p>
    <w:p w14:paraId="589D8790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 xml:space="preserve">5. Modelos Matemáticos y 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Algoritmos Auditados</w:t>
      </w:r>
    </w:p>
    <w:p w14:paraId="2E668F8E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5.1 Punto de Reorden (ROP) y Ajuste por Empaque Mínimo</w:t>
      </w:r>
    </w:p>
    <w:p w14:paraId="2F9E182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Velocidad Diaria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) = </w:t>
      </w: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Suma(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Unidades Vendidas) / N días ROP =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Vd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x Lead Time) + Stock de Seguridad 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Sugerencia Compra = Techo((ROP - Stock Actual) / Múltiplo Empaque) x Múltiplo Empaque</w:t>
      </w:r>
    </w:p>
    <w:p w14:paraId="5F1224C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>Garantiza que la sugerencia de compra nunca quede por debajo del lote comercial del proveedor ni genere roturas de stock durante el tiempo de reposición.</w:t>
      </w:r>
    </w:p>
    <w:p w14:paraId="561ABDFD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lastRenderedPageBreak/>
        <w:t xml:space="preserve">5.2 Ley Chilena </w:t>
      </w: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de Redondeo en Efectivo (Ley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N°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20.956)</w:t>
      </w:r>
    </w:p>
    <w:p w14:paraId="5AF773DE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Último Dígito en 1, 2, 3 o 4 =&gt; Redondeo hacia abajo a la decena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ej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 $1.004 -&gt; $1.000) Último Dígito en 5, 6, 7, 8 o 9 =&gt; Redondeo hacia arriba a la decena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ej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 $1.005 -&gt; $1.010) Último Dígito en 0 =&gt; Se conserva el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valor exacto</w:t>
      </w:r>
    </w:p>
    <w:p w14:paraId="6224E722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Los medios de pago electrónicos (tarjetas, transferencias y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RutPay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) no sufren redondeo y cobran el monto bruto exacto.</w:t>
      </w:r>
    </w:p>
    <w:p w14:paraId="3CC3FB3D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5.3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Circuit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Breaker y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Backoff</w:t>
      </w:r>
      <w:proofErr w:type="spellEnd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 xml:space="preserve"> Exponencial con </w:t>
      </w:r>
      <w:proofErr w:type="spellStart"/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Jitter</w:t>
      </w:r>
      <w:proofErr w:type="spellEnd"/>
    </w:p>
    <w:p w14:paraId="458A1E9D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Tiempo Reintento = </w:t>
      </w: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Min(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Tiempo Máximo, Tiempo Base x 2^Intento) +/- 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Jit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ter</w:t>
      </w:r>
      <w:proofErr w:type="spellEnd"/>
    </w:p>
    <w:p w14:paraId="5EC54380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El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Circuit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Breaker evita que peticiones a la nube bloqueen el POS cuando no hay internet: tras 3 fallos pasa a OPEN y rechaza llamadas a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Postgres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 xml:space="preserve"> en &lt;2ms, delegando la persistencia inmediata a SQLite local.</w:t>
      </w:r>
    </w:p>
    <w:p w14:paraId="50BB76DE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6. Resumen Cuantitativo y Comandos de Ejecuci</w:t>
      </w: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ón</w:t>
      </w:r>
    </w:p>
    <w:p w14:paraId="42CBF5AB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color w:val="1E293B"/>
          <w:sz w:val="21"/>
          <w:szCs w:val="21"/>
        </w:rPr>
        <w:t xml:space="preserve">Resumen consolidado de pruebas automatizadas del Backend de </w:t>
      </w:r>
      <w:proofErr w:type="spellStart"/>
      <w:r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>
        <w:rPr>
          <w:rFonts w:ascii="Calibri" w:eastAsia="Calibri" w:hAnsi="Calibri" w:cs="Calibri"/>
          <w:color w:val="1E293B"/>
          <w:sz w:val="21"/>
          <w:szCs w:val="21"/>
        </w:rPr>
        <w:t>:</w:t>
      </w:r>
    </w:p>
    <w:p w14:paraId="259C84DA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Integración Backend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test):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16 suites, 87 pruebas aprobadas (~6.1s de ejecución)</w:t>
      </w:r>
    </w:p>
    <w:p w14:paraId="00A16FF9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Unitarias Backend (</w:t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npm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 run </w:t>
      </w:r>
      <w:proofErr w:type="spellStart"/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test:unit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:backend</w:t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):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15 suites, 205 pruebas aprobadas (~3.5s de ejecución)</w:t>
      </w:r>
    </w:p>
    <w:p w14:paraId="4C514F97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Total Exclusivo Backend: 31 suites, 292 pruebas aprobadas al 100%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66672D2B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Unitarias Frontend Segregadas:</w:t>
      </w:r>
      <w:r>
        <w:rPr>
          <w:rFonts w:ascii="Calibri" w:eastAsia="Calibri" w:hAnsi="Calibri" w:cs="Calibri"/>
          <w:color w:val="1E293B"/>
          <w:sz w:val="21"/>
          <w:szCs w:val="21"/>
        </w:rPr>
        <w:t xml:space="preserve"> 1 suite, 11 pruebas aprobadas al 100%</w:t>
      </w:r>
    </w:p>
    <w:p w14:paraId="1F3CC3B5" w14:textId="77777777" w:rsidR="00E81CC4" w:rsidRDefault="002414F2">
      <w:pPr>
        <w:pStyle w:val="Prrafodelista"/>
        <w:numPr>
          <w:ilvl w:val="0"/>
          <w:numId w:val="1"/>
        </w:numPr>
        <w:spacing w:before="40" w:after="40" w:line="260" w:lineRule="auto"/>
      </w:pPr>
      <w:proofErr w:type="gram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Total General Jest: 31 suites, 303 pruebas aprobadas al 100% (cero fallas)</w:t>
      </w:r>
      <w:proofErr w:type="gram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proofErr w:type="spellStart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proofErr w:type="spellEnd"/>
      <w:r>
        <w:rPr>
          <w:rFonts w:ascii="Calibri" w:eastAsia="Calibri" w:hAnsi="Calibri" w:cs="Calibri"/>
          <w:b/>
          <w:bCs/>
          <w:color w:val="1E293B"/>
          <w:sz w:val="21"/>
          <w:szCs w:val="21"/>
        </w:rPr>
      </w:r>
      <w:r>
        <w:rPr>
          <w:rFonts w:ascii="Calibri" w:eastAsia="Calibri" w:hAnsi="Calibri" w:cs="Calibri"/>
          <w:color w:val="1E293B"/>
          <w:sz w:val="21"/>
          <w:szCs w:val="21"/>
        </w:rPr>
      </w:r>
    </w:p>
    <w:p w14:paraId="792CBE9B" w14:textId="77777777" w:rsidR="00E81CC4" w:rsidRDefault="00E81CC4">
      <w:pPr>
        <w:spacing w:after="140"/>
      </w:pPr>
    </w:p>
    <w:p w14:paraId="449947EE" w14:textId="77777777" w:rsidR="00E81CC4" w:rsidRDefault="002414F2">
      <w:pPr>
        <w:spacing w:before="260" w:after="100"/>
      </w:pPr>
      <w:r>
        <w:rPr>
          <w:rFonts w:ascii="Calibri" w:eastAsia="Calibri" w:hAnsi="Calibri" w:cs="Calibri"/>
          <w:b/>
          <w:bCs/>
          <w:color w:val="0284C7"/>
          <w:sz w:val="24"/>
          <w:szCs w:val="24"/>
        </w:rPr>
        <w:t>Comandos Oficiales de Terminal:</w:t>
      </w:r>
    </w:p>
    <w:p w14:paraId="4769469C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1. Correr pruebas de integración: 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test</w:t>
      </w:r>
    </w:p>
    <w:p w14:paraId="2CC69DA6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2. Correr pruebas unitarias backend: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gramEnd"/>
      <w:r w:rsidRPr="002414F2">
        <w:rPr>
          <w:rFonts w:ascii="Calibri" w:eastAsia="Calibri" w:hAnsi="Calibri" w:cs="Calibri"/>
          <w:color w:val="1E293B"/>
          <w:sz w:val="21"/>
          <w:szCs w:val="21"/>
        </w:rPr>
        <w:t>:backend</w:t>
      </w:r>
      <w:proofErr w:type="spellEnd"/>
    </w:p>
    <w:p w14:paraId="5A9AAE03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3. Correr todas las pruebas unitarias: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spellEnd"/>
      <w:proofErr w:type="gramEnd"/>
    </w:p>
    <w:p w14:paraId="7B129894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4. Correr pruebas unitarias frontend: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proofErr w:type="gramStart"/>
      <w:r w:rsidRPr="002414F2">
        <w:rPr>
          <w:rFonts w:ascii="Calibri" w:eastAsia="Calibri" w:hAnsi="Calibri" w:cs="Calibri"/>
          <w:color w:val="1E293B"/>
          <w:sz w:val="21"/>
          <w:szCs w:val="21"/>
        </w:rPr>
        <w:t>test:unit</w:t>
      </w:r>
      <w:proofErr w:type="gramEnd"/>
      <w:r w:rsidRPr="002414F2">
        <w:rPr>
          <w:rFonts w:ascii="Calibri" w:eastAsia="Calibri" w:hAnsi="Calibri" w:cs="Calibri"/>
          <w:color w:val="1E293B"/>
          <w:sz w:val="21"/>
          <w:szCs w:val="21"/>
        </w:rPr>
        <w:t>:frontend</w:t>
      </w:r>
      <w:proofErr w:type="spellEnd"/>
    </w:p>
    <w:p w14:paraId="137470C3" w14:textId="77777777" w:rsidR="00E81CC4" w:rsidRDefault="002414F2">
      <w:pPr>
        <w:spacing w:before="80" w:after="80" w:line="276" w:lineRule="auto"/>
      </w:pP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>5. Compilar TypeSc</w:t>
      </w:r>
      <w:r>
        <w:rPr>
          <w:rFonts w:ascii="Calibri" w:eastAsia="Calibri" w:hAnsi="Calibri" w:cs="Calibri"/>
          <w:b/>
          <w:bCs/>
          <w:color w:val="1E293B"/>
          <w:sz w:val="21"/>
          <w:szCs w:val="21"/>
        </w:rPr>
        <w:t xml:space="preserve">ript sin errores:    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npm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run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build</w:t>
      </w:r>
      <w:proofErr w:type="spellEnd"/>
    </w:p>
    <w:p w14:paraId="75169A37" w14:textId="77777777" w:rsidR="00E81CC4" w:rsidRDefault="00E81CC4">
      <w:pPr>
        <w:spacing w:after="200"/>
      </w:pPr>
    </w:p>
    <w:p w14:paraId="7F2724B7" w14:textId="77777777" w:rsidR="00E81CC4" w:rsidRDefault="002414F2">
      <w:pPr>
        <w:spacing w:before="360" w:after="140"/>
      </w:pPr>
      <w:r>
        <w:rPr>
          <w:rFonts w:ascii="Calibri" w:eastAsia="Calibri" w:hAnsi="Calibri" w:cs="Calibri"/>
          <w:b/>
          <w:bCs/>
          <w:color w:val="1E3A8A"/>
          <w:sz w:val="28"/>
          <w:szCs w:val="28"/>
        </w:rPr>
        <w:t>7. Dictamen Final de Aprobación</w:t>
      </w:r>
    </w:p>
    <w:p w14:paraId="1BB880AF" w14:textId="77777777" w:rsidR="00E81CC4" w:rsidRPr="002414F2" w:rsidRDefault="002414F2">
      <w:pPr>
        <w:spacing w:before="80" w:after="80" w:line="276" w:lineRule="auto"/>
      </w:pPr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La batería de pruebas automatizadas del Backend de </w:t>
      </w:r>
      <w:proofErr w:type="spellStart"/>
      <w:r w:rsidRPr="002414F2">
        <w:rPr>
          <w:rFonts w:ascii="Calibri" w:eastAsia="Calibri" w:hAnsi="Calibri" w:cs="Calibri"/>
          <w:color w:val="1E293B"/>
          <w:sz w:val="21"/>
          <w:szCs w:val="21"/>
        </w:rPr>
        <w:t>GesTock</w:t>
      </w:r>
      <w:proofErr w:type="spellEnd"/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demuestra una arquitectura desacoplada, tolerante a fallos de red y completamente alineada con la normativa legal, tributaria y comercial chilena. Se certifica formalmente la aprobación del 100% de</w:t>
      </w:r>
      <w:r w:rsidRPr="002414F2">
        <w:rPr>
          <w:rFonts w:ascii="Calibri" w:eastAsia="Calibri" w:hAnsi="Calibri" w:cs="Calibri"/>
          <w:color w:val="1E293B"/>
          <w:sz w:val="21"/>
          <w:szCs w:val="21"/>
        </w:rPr>
        <w:t xml:space="preserve"> las pruebas para su defensa y presentación en la Fase 2 del proyecto.</w:t>
      </w:r>
    </w:p>
    <w:sectPr w:rsidR="00E81CC4" w:rsidRPr="002414F2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352CE9"/>
    <w:multiLevelType w:val="hybridMultilevel"/>
    <w:tmpl w:val="3462FD12"/>
    <w:lvl w:ilvl="0" w:tplc="43FEE9CC">
      <w:start w:val="1"/>
      <w:numFmt w:val="bullet"/>
      <w:lvlText w:val="●"/>
      <w:lvlJc w:val="left"/>
      <w:pPr>
        <w:ind w:left="720" w:hanging="360"/>
      </w:pPr>
    </w:lvl>
    <w:lvl w:ilvl="1" w:tplc="B9F6A488">
      <w:start w:val="1"/>
      <w:numFmt w:val="bullet"/>
      <w:lvlText w:val="○"/>
      <w:lvlJc w:val="left"/>
      <w:pPr>
        <w:ind w:left="1440" w:hanging="360"/>
      </w:pPr>
    </w:lvl>
    <w:lvl w:ilvl="2" w:tplc="776868D2">
      <w:start w:val="1"/>
      <w:numFmt w:val="bullet"/>
      <w:lvlText w:val="■"/>
      <w:lvlJc w:val="left"/>
      <w:pPr>
        <w:ind w:left="2160" w:hanging="360"/>
      </w:pPr>
    </w:lvl>
    <w:lvl w:ilvl="3" w:tplc="9BFEDD74">
      <w:start w:val="1"/>
      <w:numFmt w:val="bullet"/>
      <w:lvlText w:val="●"/>
      <w:lvlJc w:val="left"/>
      <w:pPr>
        <w:ind w:left="2880" w:hanging="360"/>
      </w:pPr>
    </w:lvl>
    <w:lvl w:ilvl="4" w:tplc="5FE41C02">
      <w:start w:val="1"/>
      <w:numFmt w:val="bullet"/>
      <w:lvlText w:val="○"/>
      <w:lvlJc w:val="left"/>
      <w:pPr>
        <w:ind w:left="3600" w:hanging="360"/>
      </w:pPr>
    </w:lvl>
    <w:lvl w:ilvl="5" w:tplc="F1527A06">
      <w:start w:val="1"/>
      <w:numFmt w:val="bullet"/>
      <w:lvlText w:val="■"/>
      <w:lvlJc w:val="left"/>
      <w:pPr>
        <w:ind w:left="4320" w:hanging="360"/>
      </w:pPr>
    </w:lvl>
    <w:lvl w:ilvl="6" w:tplc="D4D208EA">
      <w:start w:val="1"/>
      <w:numFmt w:val="bullet"/>
      <w:lvlText w:val="●"/>
      <w:lvlJc w:val="left"/>
      <w:pPr>
        <w:ind w:left="5040" w:hanging="360"/>
      </w:pPr>
    </w:lvl>
    <w:lvl w:ilvl="7" w:tplc="66F2EE52">
      <w:start w:val="1"/>
      <w:numFmt w:val="bullet"/>
      <w:lvlText w:val="●"/>
      <w:lvlJc w:val="left"/>
      <w:pPr>
        <w:ind w:left="5760" w:hanging="360"/>
      </w:pPr>
    </w:lvl>
    <w:lvl w:ilvl="8" w:tplc="4C08496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1CC4"/>
    <w:rsid w:val="002414F2"/>
    <w:rsid w:val="00E8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A926"/>
  <w15:docId w15:val="{44D294FF-55EF-4B62-AC2F-9558C2745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1591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Marcelo Pino</cp:lastModifiedBy>
  <cp:revision>2</cp:revision>
  <dcterms:created xsi:type="dcterms:W3CDTF">2026-10-07T23:09:00Z</dcterms:created>
  <dcterms:modified xsi:type="dcterms:W3CDTF">2026-10-07T23:13:00Z</dcterms:modified>
</cp:coreProperties>
</file>