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>• RNF-MANT-02 (Cobertura de Pruebas &gt; 85% en la lógica de negocio): Medida con `npm run test:coverage:total`, que ejecuta las dos baterías sobre el código del servidor: 78,71% de las sentencias y 87,96% de las funciones en el total, y por encima del 85% en los módulos de reglas de negocio (tributario 91,8%, facturas 92,4%, reabastecimiento 87,8%, caja 85,6%). Los valores más bajos corresponden a la integración con el servicio externo de reconocimiento (45,7%) y a las rutas (71,4%), estas últimas ejercitadas además por las 109 comprobaciones de extremo a extremo. 308 pruebas automatizadas con 100% de éxito.</w:t>
      </w:r>
      <w:r>
        <w:rPr>
          <w:rFonts w:ascii="Arial" w:cs="Arial" w:eastAsia="Arial" w:hAnsi="Arial"/>
          <w:color w:val="334155"/>
          <w:sz w:val="20"/>
          <w:szCs w:val="20"/>
        </w:rPr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001-016):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El esquema de datos relacional de GesTock está conformado por 30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308 pruebas ejecutadas con un 100% de éxito (297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>Las 5 vistas de Kruchten articuladas con el modelo de datos relacional de 30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308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